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667" w:rsidRPr="00366667" w:rsidRDefault="00366667" w:rsidP="005239BD">
      <w:pPr>
        <w:widowControl/>
        <w:spacing w:after="160"/>
        <w:rPr>
          <w:b/>
          <w:bCs/>
        </w:rPr>
      </w:pPr>
      <w:bookmarkStart w:id="0" w:name="_GoBack"/>
      <w:bookmarkStart w:id="1" w:name="Rationale_and_Background"/>
      <w:bookmarkEnd w:id="0"/>
      <w:r>
        <w:rPr>
          <w:b/>
          <w:bCs/>
        </w:rPr>
        <w:t>Overview</w:t>
      </w:r>
    </w:p>
    <w:p w:rsidR="009055D3" w:rsidRDefault="00821D96" w:rsidP="005239BD">
      <w:pPr>
        <w:widowControl/>
        <w:spacing w:after="160"/>
        <w:rPr>
          <w:bCs/>
        </w:rPr>
      </w:pPr>
      <w:r>
        <w:rPr>
          <w:bCs/>
        </w:rPr>
        <w:t>T</w:t>
      </w:r>
      <w:r w:rsidR="001E7B6C">
        <w:rPr>
          <w:bCs/>
        </w:rPr>
        <w:t xml:space="preserve">his proposal requests institutional funding </w:t>
      </w:r>
      <w:r w:rsidR="00951AC1">
        <w:rPr>
          <w:bCs/>
        </w:rPr>
        <w:t xml:space="preserve">to support </w:t>
      </w:r>
      <w:r w:rsidR="00A06482">
        <w:rPr>
          <w:bCs/>
        </w:rPr>
        <w:t>the continuity</w:t>
      </w:r>
      <w:r w:rsidR="009055D3">
        <w:rPr>
          <w:bCs/>
        </w:rPr>
        <w:t>,</w:t>
      </w:r>
      <w:r w:rsidR="00A06482">
        <w:rPr>
          <w:bCs/>
        </w:rPr>
        <w:t xml:space="preserve"> coordination</w:t>
      </w:r>
      <w:r w:rsidR="009055D3">
        <w:rPr>
          <w:bCs/>
        </w:rPr>
        <w:t>, and enrichment</w:t>
      </w:r>
      <w:r w:rsidR="00951AC1">
        <w:rPr>
          <w:bCs/>
        </w:rPr>
        <w:t xml:space="preserve"> of </w:t>
      </w:r>
      <w:r w:rsidR="00522858">
        <w:rPr>
          <w:bCs/>
        </w:rPr>
        <w:t xml:space="preserve">gender &amp; sexuality </w:t>
      </w:r>
      <w:r w:rsidR="00951AC1">
        <w:rPr>
          <w:bCs/>
        </w:rPr>
        <w:t>related campus initiative</w:t>
      </w:r>
      <w:r w:rsidR="009657EB">
        <w:rPr>
          <w:bCs/>
        </w:rPr>
        <w:t>s</w:t>
      </w:r>
      <w:r w:rsidR="001E7B6C">
        <w:rPr>
          <w:bCs/>
        </w:rPr>
        <w:t>.</w:t>
      </w:r>
      <w:r w:rsidR="00951AC1">
        <w:rPr>
          <w:bCs/>
        </w:rPr>
        <w:t xml:space="preserve"> In </w:t>
      </w:r>
      <w:r w:rsidR="009657EB">
        <w:rPr>
          <w:bCs/>
        </w:rPr>
        <w:t xml:space="preserve">particular, we </w:t>
      </w:r>
      <w:r w:rsidR="001639F2">
        <w:rPr>
          <w:bCs/>
        </w:rPr>
        <w:t>request budget allocations</w:t>
      </w:r>
      <w:r w:rsidR="009657EB">
        <w:rPr>
          <w:bCs/>
        </w:rPr>
        <w:t xml:space="preserve"> to </w:t>
      </w:r>
      <w:r w:rsidR="00562246">
        <w:rPr>
          <w:bCs/>
        </w:rPr>
        <w:t>hire</w:t>
      </w:r>
      <w:r w:rsidR="009657EB">
        <w:rPr>
          <w:bCs/>
        </w:rPr>
        <w:t xml:space="preserve"> a Director </w:t>
      </w:r>
      <w:r w:rsidR="00522858">
        <w:rPr>
          <w:bCs/>
        </w:rPr>
        <w:t xml:space="preserve">to serve as the </w:t>
      </w:r>
      <w:r w:rsidR="009055D3">
        <w:rPr>
          <w:bCs/>
        </w:rPr>
        <w:t>head of co-curricular programing</w:t>
      </w:r>
      <w:r w:rsidR="001639F2">
        <w:rPr>
          <w:bCs/>
        </w:rPr>
        <w:t xml:space="preserve">, </w:t>
      </w:r>
      <w:r w:rsidR="004767DE">
        <w:rPr>
          <w:bCs/>
        </w:rPr>
        <w:t>a programming budget</w:t>
      </w:r>
      <w:r w:rsidR="009055D3">
        <w:rPr>
          <w:bCs/>
        </w:rPr>
        <w:t>,</w:t>
      </w:r>
      <w:r w:rsidR="009657EB">
        <w:rPr>
          <w:bCs/>
        </w:rPr>
        <w:t xml:space="preserve"> and fund</w:t>
      </w:r>
      <w:r w:rsidR="004767DE">
        <w:rPr>
          <w:bCs/>
        </w:rPr>
        <w:t xml:space="preserve">ing </w:t>
      </w:r>
      <w:r w:rsidR="009055D3">
        <w:rPr>
          <w:bCs/>
        </w:rPr>
        <w:t>to construct a space where students can meet and safely discuss these issues</w:t>
      </w:r>
      <w:r w:rsidR="009657EB">
        <w:rPr>
          <w:bCs/>
        </w:rPr>
        <w:t>.</w:t>
      </w:r>
      <w:r w:rsidR="001E7B6C">
        <w:rPr>
          <w:bCs/>
        </w:rPr>
        <w:t xml:space="preserve"> </w:t>
      </w:r>
    </w:p>
    <w:p w:rsidR="00F60142" w:rsidRDefault="00C20143" w:rsidP="00F60142">
      <w:pPr>
        <w:widowControl/>
        <w:autoSpaceDE/>
        <w:autoSpaceDN/>
        <w:adjustRightInd/>
        <w:contextualSpacing/>
      </w:pPr>
      <w:r>
        <w:t>The ‘</w:t>
      </w:r>
      <w:r w:rsidR="00E562F2">
        <w:t>Center</w:t>
      </w:r>
      <w:r>
        <w:t xml:space="preserve">’ would </w:t>
      </w:r>
      <w:r w:rsidRPr="00137D10">
        <w:rPr>
          <w:i/>
        </w:rPr>
        <w:t>provide education and structure around these issues, and specifically around issues of sexual assault, sexual &amp; gender minorities, and sexual health</w:t>
      </w:r>
      <w:r>
        <w:rPr>
          <w:i/>
        </w:rPr>
        <w:t xml:space="preserve">, </w:t>
      </w:r>
      <w:r w:rsidRPr="00C20143">
        <w:t>all of</w:t>
      </w:r>
      <w:r w:rsidRPr="00137D10">
        <w:rPr>
          <w:i/>
        </w:rPr>
        <w:t xml:space="preserve"> </w:t>
      </w:r>
      <w:r w:rsidRPr="00C20143">
        <w:t>which students, staff and faculty have identified as currently lacking</w:t>
      </w:r>
      <w:r w:rsidRPr="00137D10">
        <w:rPr>
          <w:i/>
        </w:rPr>
        <w:t>.</w:t>
      </w:r>
      <w:r>
        <w:t xml:space="preserve"> The </w:t>
      </w:r>
      <w:r w:rsidR="00E562F2">
        <w:t>Center</w:t>
      </w:r>
      <w:r w:rsidR="00D42329">
        <w:t xml:space="preserve"> Director</w:t>
      </w:r>
      <w:r w:rsidR="00F60142">
        <w:t>’s duties w</w:t>
      </w:r>
      <w:r>
        <w:t>ould be to:</w:t>
      </w:r>
    </w:p>
    <w:p w:rsidR="00C20143" w:rsidRDefault="00C20143" w:rsidP="00D42329">
      <w:pPr>
        <w:widowControl/>
        <w:numPr>
          <w:ilvl w:val="1"/>
          <w:numId w:val="17"/>
        </w:numPr>
        <w:autoSpaceDE/>
        <w:autoSpaceDN/>
        <w:adjustRightInd/>
        <w:spacing w:after="200"/>
        <w:contextualSpacing/>
      </w:pPr>
      <w:r>
        <w:t xml:space="preserve">Provide strategic </w:t>
      </w:r>
      <w:r w:rsidRPr="00C20143">
        <w:t xml:space="preserve">oversight </w:t>
      </w:r>
      <w:r>
        <w:t xml:space="preserve">and coordination </w:t>
      </w:r>
      <w:r w:rsidRPr="00C20143">
        <w:t>of existing gender &amp; sexuality initiatives such as Orientation Programming; peer-support groups (such as MyLine);</w:t>
      </w:r>
      <w:r>
        <w:t xml:space="preserve"> student </w:t>
      </w:r>
      <w:r w:rsidRPr="00C20143">
        <w:t>organizations such as UNITY, SAGE</w:t>
      </w:r>
      <w:r w:rsidR="00103687">
        <w:t xml:space="preserve"> (formerly the Feminist Club and SEXplorations)</w:t>
      </w:r>
      <w:r w:rsidRPr="00C20143">
        <w:t xml:space="preserve">, and </w:t>
      </w:r>
      <w:r w:rsidR="00103687">
        <w:t>the Hendrix Health Squad</w:t>
      </w:r>
    </w:p>
    <w:p w:rsidR="00C20143" w:rsidRDefault="00C20143" w:rsidP="00D42329">
      <w:pPr>
        <w:widowControl/>
        <w:numPr>
          <w:ilvl w:val="1"/>
          <w:numId w:val="17"/>
        </w:numPr>
        <w:autoSpaceDE/>
        <w:autoSpaceDN/>
        <w:adjustRightInd/>
        <w:spacing w:after="200"/>
        <w:contextualSpacing/>
      </w:pPr>
      <w:r>
        <w:t>Develop additional campus programming related to gender &amp; sexuality issues</w:t>
      </w:r>
    </w:p>
    <w:p w:rsidR="00C20143" w:rsidRDefault="00C20143" w:rsidP="00D42329">
      <w:pPr>
        <w:widowControl/>
        <w:numPr>
          <w:ilvl w:val="1"/>
          <w:numId w:val="17"/>
        </w:numPr>
        <w:autoSpaceDE/>
        <w:autoSpaceDN/>
        <w:adjustRightInd/>
        <w:spacing w:after="200"/>
        <w:contextualSpacing/>
      </w:pPr>
      <w:r>
        <w:t>Provide training (RAs, staff, faculty, students, etc.) for programs such as the ACS program “Safe Zones” and on handling gender &amp; sexually-based violations of campus policy</w:t>
      </w:r>
    </w:p>
    <w:p w:rsidR="00C20143" w:rsidRDefault="00C20143" w:rsidP="00D42329">
      <w:pPr>
        <w:widowControl/>
        <w:numPr>
          <w:ilvl w:val="1"/>
          <w:numId w:val="17"/>
        </w:numPr>
        <w:autoSpaceDE/>
        <w:autoSpaceDN/>
        <w:adjustRightInd/>
        <w:spacing w:after="200"/>
        <w:contextualSpacing/>
      </w:pPr>
      <w:r>
        <w:t xml:space="preserve">Shape campus policies (such as discrimination and sexual assault policies) </w:t>
      </w:r>
    </w:p>
    <w:p w:rsidR="00C20143" w:rsidRDefault="00C20143" w:rsidP="00D42329">
      <w:pPr>
        <w:widowControl/>
        <w:numPr>
          <w:ilvl w:val="1"/>
          <w:numId w:val="17"/>
        </w:numPr>
        <w:autoSpaceDE/>
        <w:autoSpaceDN/>
        <w:adjustRightInd/>
        <w:spacing w:after="200"/>
        <w:contextualSpacing/>
      </w:pPr>
      <w:r>
        <w:t xml:space="preserve">Offer informative/educational resources </w:t>
      </w:r>
    </w:p>
    <w:p w:rsidR="00C20143" w:rsidRDefault="00C20143" w:rsidP="00D42329">
      <w:pPr>
        <w:widowControl/>
        <w:numPr>
          <w:ilvl w:val="1"/>
          <w:numId w:val="17"/>
        </w:numPr>
        <w:autoSpaceDE/>
        <w:autoSpaceDN/>
        <w:adjustRightInd/>
        <w:spacing w:after="200"/>
        <w:contextualSpacing/>
      </w:pPr>
      <w:r>
        <w:t>Support students, faculty, and staff when they face gender &amp; sexuality issues on campus</w:t>
      </w:r>
    </w:p>
    <w:p w:rsidR="00C20143" w:rsidRPr="00C20143" w:rsidRDefault="00C20143" w:rsidP="00D42329">
      <w:pPr>
        <w:numPr>
          <w:ilvl w:val="1"/>
          <w:numId w:val="17"/>
        </w:numPr>
        <w:autoSpaceDE/>
        <w:autoSpaceDN/>
        <w:adjustRightInd/>
        <w:spacing w:after="200"/>
        <w:contextualSpacing/>
        <w:rPr>
          <w:bCs/>
        </w:rPr>
      </w:pPr>
      <w:r>
        <w:t xml:space="preserve">Connect to the community and bring knowledge about available resources from the wider central Arkansas community onto campus. This could include coordinating transportation to and from those institutions and offering </w:t>
      </w:r>
      <w:r w:rsidRPr="00C20143">
        <w:t xml:space="preserve"> </w:t>
      </w:r>
      <w:r w:rsidRPr="00C20143">
        <w:rPr>
          <w:bCs/>
        </w:rPr>
        <w:t xml:space="preserve">sustained civic engagement relationships with local organizations </w:t>
      </w:r>
    </w:p>
    <w:p w:rsidR="00C20143" w:rsidRDefault="00C20143" w:rsidP="00D42329">
      <w:pPr>
        <w:widowControl/>
        <w:numPr>
          <w:ilvl w:val="1"/>
          <w:numId w:val="17"/>
        </w:numPr>
        <w:autoSpaceDE/>
        <w:autoSpaceDN/>
        <w:adjustRightInd/>
        <w:contextualSpacing/>
      </w:pPr>
      <w:r>
        <w:t>Encourage accountability between smaller existing student groups—encouraging groups to stay active and provide support for their events</w:t>
      </w:r>
    </w:p>
    <w:p w:rsidR="002679B7" w:rsidRPr="002679B7" w:rsidRDefault="002679B7" w:rsidP="002679B7">
      <w:pPr>
        <w:pStyle w:val="ListParagraph"/>
        <w:numPr>
          <w:ilvl w:val="1"/>
          <w:numId w:val="17"/>
        </w:numPr>
      </w:pPr>
      <w:r w:rsidRPr="002679B7">
        <w:t xml:space="preserve">Potentially offer two courses a year in these areas (such as Intro. to </w:t>
      </w:r>
      <w:r w:rsidR="00A273AE">
        <w:t xml:space="preserve">Gender Studies or a section of </w:t>
      </w:r>
      <w:r w:rsidRPr="002679B7">
        <w:t>The Engaged Citizen) and help to coordinate academic programs (potentially including Gender Studies and majors related to sexuality and queer studies).</w:t>
      </w:r>
    </w:p>
    <w:p w:rsidR="00C20143" w:rsidRDefault="00C20143" w:rsidP="00D42329">
      <w:pPr>
        <w:widowControl/>
        <w:numPr>
          <w:ilvl w:val="1"/>
          <w:numId w:val="17"/>
        </w:numPr>
        <w:autoSpaceDE/>
        <w:autoSpaceDN/>
        <w:adjustRightInd/>
        <w:contextualSpacing/>
      </w:pPr>
      <w:r>
        <w:t>B</w:t>
      </w:r>
      <w:r w:rsidRPr="00C20143">
        <w:t xml:space="preserve">e a resource for marketing or publicizing any future gender or sexuality </w:t>
      </w:r>
      <w:r>
        <w:t>related changes to the campus.</w:t>
      </w:r>
    </w:p>
    <w:p w:rsidR="00D42329" w:rsidRPr="00D42329" w:rsidRDefault="00D42329" w:rsidP="00D42329">
      <w:pPr>
        <w:pStyle w:val="ListParagraph"/>
        <w:numPr>
          <w:ilvl w:val="1"/>
          <w:numId w:val="17"/>
        </w:numPr>
      </w:pPr>
      <w:r>
        <w:t>D</w:t>
      </w:r>
      <w:r w:rsidRPr="00D42329">
        <w:t>evelopment and management of a safe space for LGBTQ students (as UNITY has recently requested)</w:t>
      </w:r>
    </w:p>
    <w:p w:rsidR="00D42329" w:rsidRDefault="00D42329" w:rsidP="00D42329">
      <w:pPr>
        <w:widowControl/>
        <w:autoSpaceDE/>
        <w:autoSpaceDN/>
        <w:adjustRightInd/>
        <w:contextualSpacing/>
      </w:pPr>
    </w:p>
    <w:p w:rsidR="00F520F0" w:rsidRDefault="00F60142" w:rsidP="00BC7EF4">
      <w:pPr>
        <w:widowControl/>
        <w:rPr>
          <w:bCs/>
        </w:rPr>
      </w:pPr>
      <w:r>
        <w:rPr>
          <w:bCs/>
        </w:rPr>
        <w:t>In addition to the Director’s salary, a</w:t>
      </w:r>
      <w:r w:rsidR="00517CE8">
        <w:rPr>
          <w:bCs/>
        </w:rPr>
        <w:t xml:space="preserve"> small programming budget w</w:t>
      </w:r>
      <w:r>
        <w:rPr>
          <w:bCs/>
        </w:rPr>
        <w:t>ould facilitate these needs. C</w:t>
      </w:r>
      <w:r w:rsidR="006A0FBF">
        <w:rPr>
          <w:bCs/>
        </w:rPr>
        <w:t>onversations are under</w:t>
      </w:r>
      <w:r w:rsidR="00F520F0">
        <w:rPr>
          <w:bCs/>
        </w:rPr>
        <w:t xml:space="preserve">way about the </w:t>
      </w:r>
      <w:r w:rsidR="00E562F2">
        <w:rPr>
          <w:bCs/>
        </w:rPr>
        <w:t>Center</w:t>
      </w:r>
      <w:r w:rsidR="00B74CD6">
        <w:rPr>
          <w:bCs/>
        </w:rPr>
        <w:t>’s</w:t>
      </w:r>
      <w:r w:rsidR="00F520F0">
        <w:rPr>
          <w:bCs/>
        </w:rPr>
        <w:t xml:space="preserve"> location, </w:t>
      </w:r>
      <w:r w:rsidR="005B01E9">
        <w:rPr>
          <w:bCs/>
        </w:rPr>
        <w:t>ideally</w:t>
      </w:r>
      <w:r w:rsidR="00F520F0">
        <w:rPr>
          <w:bCs/>
        </w:rPr>
        <w:t xml:space="preserve"> as a</w:t>
      </w:r>
      <w:r w:rsidR="009C5189">
        <w:rPr>
          <w:bCs/>
        </w:rPr>
        <w:t>n integrated</w:t>
      </w:r>
      <w:r w:rsidR="00F520F0">
        <w:rPr>
          <w:bCs/>
        </w:rPr>
        <w:t xml:space="preserve"> complement to the </w:t>
      </w:r>
      <w:r w:rsidR="00517CE8">
        <w:rPr>
          <w:bCs/>
        </w:rPr>
        <w:t>MISS office</w:t>
      </w:r>
      <w:r w:rsidR="00F520F0">
        <w:rPr>
          <w:bCs/>
        </w:rPr>
        <w:t xml:space="preserve"> in </w:t>
      </w:r>
      <w:r w:rsidR="00517CE8">
        <w:rPr>
          <w:bCs/>
        </w:rPr>
        <w:t>the SLTC or Counseling Services</w:t>
      </w:r>
      <w:r w:rsidR="00F520F0">
        <w:rPr>
          <w:bCs/>
        </w:rPr>
        <w:t>.</w:t>
      </w:r>
    </w:p>
    <w:p w:rsidR="00BC7EF4" w:rsidRPr="00BC7EF4" w:rsidRDefault="00BC7EF4" w:rsidP="005239BD">
      <w:pPr>
        <w:widowControl/>
        <w:spacing w:after="160"/>
        <w:rPr>
          <w:b/>
          <w:bCs/>
          <w:sz w:val="16"/>
          <w:szCs w:val="16"/>
        </w:rPr>
      </w:pPr>
    </w:p>
    <w:p w:rsidR="005239BD" w:rsidRDefault="001C1758" w:rsidP="005239BD">
      <w:pPr>
        <w:widowControl/>
        <w:spacing w:after="160"/>
        <w:rPr>
          <w:b/>
          <w:bCs/>
        </w:rPr>
      </w:pPr>
      <w:r>
        <w:rPr>
          <w:b/>
          <w:bCs/>
        </w:rPr>
        <w:t>Rationale and Background</w:t>
      </w:r>
      <w:bookmarkEnd w:id="1"/>
    </w:p>
    <w:p w:rsidR="00D42329" w:rsidRDefault="00D42329" w:rsidP="00D42329">
      <w:pPr>
        <w:widowControl/>
      </w:pPr>
      <w:r>
        <w:t>By institutionalizing the support that Hendrix College has sought to offer to all students, staff, and faculty regardless of their gender or sexual orientation, we make visible much of what we do and provide significantly better service to the campus.</w:t>
      </w:r>
      <w:r w:rsidRPr="00D42329">
        <w:t xml:space="preserve"> </w:t>
      </w:r>
      <w:r>
        <w:t xml:space="preserve"> Students have expressed a desire for increased programming and knowledge about these issues</w:t>
      </w:r>
      <w:r w:rsidR="00774C6A">
        <w:t xml:space="preserve">, and a </w:t>
      </w:r>
      <w:r w:rsidR="00F41836">
        <w:t xml:space="preserve">Gender &amp; Sexuality </w:t>
      </w:r>
      <w:r w:rsidR="00E562F2">
        <w:t>Center</w:t>
      </w:r>
      <w:r w:rsidR="00774C6A">
        <w:t xml:space="preserve"> will consistently provide that</w:t>
      </w:r>
      <w:r>
        <w:t xml:space="preserve">. </w:t>
      </w:r>
    </w:p>
    <w:p w:rsidR="00210564" w:rsidRDefault="00210564" w:rsidP="00D42329">
      <w:pPr>
        <w:widowControl/>
      </w:pPr>
    </w:p>
    <w:p w:rsidR="00D42329" w:rsidRDefault="00210564" w:rsidP="00D42329">
      <w:pPr>
        <w:widowControl/>
      </w:pPr>
      <w:r>
        <w:t>Across the nation, sexual assault issues have garnered significant attention, particularly with damaging cases at Penn</w:t>
      </w:r>
      <w:r w:rsidR="00103687">
        <w:t>sylvania</w:t>
      </w:r>
      <w:r>
        <w:t xml:space="preserve"> State</w:t>
      </w:r>
      <w:r w:rsidR="00103687">
        <w:t xml:space="preserve"> University</w:t>
      </w:r>
      <w:r>
        <w:t>, Amherst College, and University of North Carolina, Charlotte. Recognizing that approximately one in five students are sexually victimized during their college years, Vice President Joe Biden and Secretary of Education Arn Duncan collaborated to better outline coll</w:t>
      </w:r>
      <w:r w:rsidR="00774C6A">
        <w:t>ege</w:t>
      </w:r>
      <w:r>
        <w:t>s</w:t>
      </w:r>
      <w:r w:rsidR="00774C6A">
        <w:t>’</w:t>
      </w:r>
      <w:r>
        <w:t xml:space="preserve"> obligations and students rights in this area. The resulting “Dear Colleague” letter from the Dept. of Education’s Office on Civil Right</w:t>
      </w:r>
      <w:r w:rsidR="00103687">
        <w:rPr>
          <w:rStyle w:val="EndnoteReference"/>
        </w:rPr>
        <w:endnoteReference w:id="1"/>
      </w:r>
      <w:r>
        <w:t>s outline a number of responsibilities that Hendrix has in this area</w:t>
      </w:r>
      <w:r w:rsidR="00103687">
        <w:t xml:space="preserve"> beyond handling complaints; in order to be fully compliant Hendrix will need to institutionalize better training and education about sexual harassment, assault, and health. </w:t>
      </w:r>
    </w:p>
    <w:p w:rsidR="00210564" w:rsidRDefault="00210564" w:rsidP="00D42329">
      <w:pPr>
        <w:widowControl/>
      </w:pPr>
    </w:p>
    <w:p w:rsidR="00D42329" w:rsidRDefault="00103687" w:rsidP="00D42329">
      <w:pPr>
        <w:widowControl/>
      </w:pPr>
      <w:r>
        <w:t>In a survey conducted for the Fall 2012</w:t>
      </w:r>
      <w:r w:rsidR="00D42329">
        <w:t xml:space="preserve"> sociological methods course, which about 1/3 of the student body responded to, </w:t>
      </w:r>
      <w:r w:rsidR="00F41836">
        <w:t xml:space="preserve">many </w:t>
      </w:r>
      <w:r w:rsidR="00D42329">
        <w:t xml:space="preserve">students indicated that they were unaware of campus policies relating to gender and sexual issues. Several students have also described a lack of support felt by those who experienced sexual assault or faced discrimination/prejudice. </w:t>
      </w:r>
      <w:r w:rsidR="00D42329" w:rsidRPr="00D42329">
        <w:t>In small, insular communities</w:t>
      </w:r>
      <w:r w:rsidR="00F41836">
        <w:t>,</w:t>
      </w:r>
      <w:r w:rsidR="00D42329" w:rsidRPr="00D42329">
        <w:t xml:space="preserve"> like that found at Hendrix College</w:t>
      </w:r>
      <w:r w:rsidR="00F41836">
        <w:t>,</w:t>
      </w:r>
      <w:r w:rsidR="00D42329" w:rsidRPr="00D42329">
        <w:t xml:space="preserve"> reporting of gender &amp; sexuality issues can be especially tricky and students have a false sense of security. </w:t>
      </w:r>
      <w:r w:rsidR="00D42329">
        <w:t xml:space="preserve"> Additionally, s</w:t>
      </w:r>
      <w:r w:rsidR="00D42329" w:rsidRPr="00D42329">
        <w:t>tudent organizing on these</w:t>
      </w:r>
      <w:r w:rsidR="00D42329">
        <w:t xml:space="preserve"> issues needs careful monitoring, and the existence of a safe space for people to discuss issues of gender and sexuality should not be dependent on student leaders who graduate within four years</w:t>
      </w:r>
      <w:r w:rsidR="00D42329" w:rsidRPr="00D42329">
        <w:t>.</w:t>
      </w:r>
    </w:p>
    <w:p w:rsidR="00D42329" w:rsidRDefault="00D42329" w:rsidP="00D42329">
      <w:pPr>
        <w:widowControl/>
      </w:pPr>
    </w:p>
    <w:p w:rsidR="005239BD" w:rsidRDefault="00517CE8" w:rsidP="00C20143">
      <w:r>
        <w:t xml:space="preserve">Although Hendrix College believes itself to be a welcoming campus for LGBTQ students, like </w:t>
      </w:r>
      <w:r w:rsidR="008A55E6">
        <w:t xml:space="preserve">most </w:t>
      </w:r>
      <w:r w:rsidR="004235EE">
        <w:t>college campuses</w:t>
      </w:r>
      <w:r>
        <w:t xml:space="preserve"> </w:t>
      </w:r>
      <w:r w:rsidR="004235EE">
        <w:t xml:space="preserve">norms of heterosexuality and </w:t>
      </w:r>
      <w:r w:rsidR="006F7AD3">
        <w:t xml:space="preserve">binary gender conformity are </w:t>
      </w:r>
      <w:r w:rsidR="008A55E6">
        <w:t xml:space="preserve">pronounced. This reality means that </w:t>
      </w:r>
      <w:r w:rsidR="006F7AD3">
        <w:t xml:space="preserve">LGBTQ people’s sense of belonging </w:t>
      </w:r>
      <w:r w:rsidR="008A55E6">
        <w:t xml:space="preserve">is </w:t>
      </w:r>
      <w:r w:rsidR="003621DB">
        <w:t>dependent</w:t>
      </w:r>
      <w:r w:rsidR="006F7AD3">
        <w:t xml:space="preserve"> on their access to identified resources</w:t>
      </w:r>
      <w:r w:rsidR="004235EE">
        <w:t xml:space="preserve"> </w:t>
      </w:r>
      <w:r w:rsidR="00355F98">
        <w:t xml:space="preserve">(professional staff, programs, and physical spaces) </w:t>
      </w:r>
      <w:r w:rsidR="004235EE">
        <w:t>that provide freedom</w:t>
      </w:r>
      <w:r w:rsidR="008A55E6">
        <w:t xml:space="preserve"> and strategic distance from those norms and</w:t>
      </w:r>
      <w:r w:rsidR="004235EE">
        <w:t xml:space="preserve"> threats</w:t>
      </w:r>
      <w:r w:rsidR="008A55E6">
        <w:t xml:space="preserve"> that otherwise restrict their full inclusion in the community.</w:t>
      </w:r>
      <w:r w:rsidR="004235EE">
        <w:t xml:space="preserve"> </w:t>
      </w:r>
      <w:r w:rsidR="008A55E6">
        <w:t>Consequently</w:t>
      </w:r>
      <w:r w:rsidR="006F7AD3">
        <w:t>, m</w:t>
      </w:r>
      <w:r w:rsidR="00F41836">
        <w:t>any college</w:t>
      </w:r>
      <w:r w:rsidR="001C1758">
        <w:t xml:space="preserve">s </w:t>
      </w:r>
      <w:r w:rsidR="006F7AD3">
        <w:t>have advanced their commitment</w:t>
      </w:r>
      <w:r w:rsidR="001C1758">
        <w:t xml:space="preserve"> </w:t>
      </w:r>
      <w:r w:rsidR="008A55E6">
        <w:t>to supporting</w:t>
      </w:r>
      <w:r w:rsidR="001C1758">
        <w:t xml:space="preserve"> LGBTQ people by providing </w:t>
      </w:r>
      <w:r w:rsidR="006F7AD3" w:rsidRPr="006F7AD3">
        <w:rPr>
          <w:i/>
        </w:rPr>
        <w:t>staff</w:t>
      </w:r>
      <w:r w:rsidR="006F7AD3">
        <w:t xml:space="preserve"> to oversee the coordination of LGBTQ programs, </w:t>
      </w:r>
      <w:r w:rsidR="006F7AD3" w:rsidRPr="006F7AD3">
        <w:rPr>
          <w:i/>
        </w:rPr>
        <w:t>programming</w:t>
      </w:r>
      <w:r w:rsidR="006F7AD3">
        <w:t xml:space="preserve"> budgets, and </w:t>
      </w:r>
      <w:r w:rsidR="001C1758">
        <w:t xml:space="preserve">physical </w:t>
      </w:r>
      <w:r w:rsidR="001C1758" w:rsidRPr="006F7AD3">
        <w:rPr>
          <w:i/>
        </w:rPr>
        <w:t>space</w:t>
      </w:r>
      <w:r w:rsidR="001C1758">
        <w:t xml:space="preserve">. By fostering an empowered LGBTQ community, </w:t>
      </w:r>
      <w:r w:rsidR="00C20143">
        <w:t xml:space="preserve">a </w:t>
      </w:r>
      <w:r w:rsidR="001C1758">
        <w:t xml:space="preserve">well-conceived </w:t>
      </w:r>
      <w:r w:rsidR="00C20143">
        <w:t xml:space="preserve">Gender &amp; Sexuality </w:t>
      </w:r>
      <w:r w:rsidR="00E562F2">
        <w:t>Center</w:t>
      </w:r>
      <w:r w:rsidR="001C1758">
        <w:t xml:space="preserve"> strengthen</w:t>
      </w:r>
      <w:r w:rsidR="009D0D30">
        <w:t>s</w:t>
      </w:r>
      <w:r w:rsidR="001C1758">
        <w:t xml:space="preserve"> the intellectual and social aspects of the larger university community by making more </w:t>
      </w:r>
      <w:r w:rsidR="001C1758" w:rsidRPr="008A55E6">
        <w:rPr>
          <w:i/>
        </w:rPr>
        <w:t>visible</w:t>
      </w:r>
      <w:r w:rsidR="001C1758">
        <w:t xml:space="preserve"> the needs, experiences, and contributions of </w:t>
      </w:r>
      <w:r w:rsidR="00C20143">
        <w:t>all students</w:t>
      </w:r>
      <w:r w:rsidR="001C1758">
        <w:t>.</w:t>
      </w:r>
      <w:r w:rsidR="00C20143">
        <w:t xml:space="preserve"> </w:t>
      </w:r>
      <w:r w:rsidR="000D7C20">
        <w:t>The institutional review facilitated by the LGBT-Friendl</w:t>
      </w:r>
      <w:r>
        <w:t>y Campus Climate Index reveals Hendrix College’s</w:t>
      </w:r>
      <w:r w:rsidR="000D7C20">
        <w:t xml:space="preserve"> relative</w:t>
      </w:r>
      <w:r w:rsidR="006F7AD3">
        <w:t xml:space="preserve"> lack of coordinat</w:t>
      </w:r>
      <w:r>
        <w:t xml:space="preserve">ion and </w:t>
      </w:r>
      <w:r w:rsidR="00F910E3">
        <w:t>oversight of LGBTQ programs,</w:t>
      </w:r>
      <w:r w:rsidR="005B01E9">
        <w:t xml:space="preserve"> organizations, and information. </w:t>
      </w:r>
      <w:r w:rsidR="00D42329">
        <w:t>In order to score better and ultimately serve the existing and potential student population better</w:t>
      </w:r>
      <w:r w:rsidR="00D42329" w:rsidRPr="00D42329">
        <w:t xml:space="preserve">, </w:t>
      </w:r>
      <w:r w:rsidRPr="00D42329">
        <w:t>Hendrix</w:t>
      </w:r>
      <w:r w:rsidR="00F910E3" w:rsidRPr="00D42329">
        <w:t xml:space="preserve"> </w:t>
      </w:r>
      <w:r w:rsidR="00D42329" w:rsidRPr="00D42329">
        <w:t>must</w:t>
      </w:r>
      <w:r w:rsidR="00F910E3" w:rsidRPr="00D42329">
        <w:t xml:space="preserve"> develop</w:t>
      </w:r>
      <w:r w:rsidR="001C1758" w:rsidRPr="00D42329">
        <w:t xml:space="preserve"> </w:t>
      </w:r>
      <w:r w:rsidRPr="00D42329">
        <w:t>a</w:t>
      </w:r>
      <w:r w:rsidR="00F910E3" w:rsidRPr="00D42329">
        <w:t xml:space="preserve"> </w:t>
      </w:r>
      <w:r w:rsidR="00E562F2">
        <w:t>Center</w:t>
      </w:r>
      <w:r w:rsidR="00F910E3" w:rsidRPr="00D42329">
        <w:t xml:space="preserve"> </w:t>
      </w:r>
      <w:r w:rsidRPr="00D42329">
        <w:t>to institutionalize the general support that Hendrix offers</w:t>
      </w:r>
      <w:r w:rsidR="001C1758" w:rsidRPr="00D42329">
        <w:t xml:space="preserve">. </w:t>
      </w:r>
    </w:p>
    <w:p w:rsidR="00126019" w:rsidRDefault="00126019" w:rsidP="005239BD">
      <w:pPr>
        <w:widowControl/>
        <w:rPr>
          <w:b/>
        </w:rPr>
      </w:pPr>
    </w:p>
    <w:p w:rsidR="006B3539" w:rsidRDefault="004550CF" w:rsidP="005239BD">
      <w:pPr>
        <w:widowControl/>
      </w:pPr>
      <w:r>
        <w:rPr>
          <w:b/>
        </w:rPr>
        <w:t xml:space="preserve">Gender and Sexuality </w:t>
      </w:r>
      <w:r w:rsidR="00126019">
        <w:rPr>
          <w:b/>
        </w:rPr>
        <w:t>C</w:t>
      </w:r>
      <w:r w:rsidR="00126019" w:rsidRPr="00137D10">
        <w:rPr>
          <w:b/>
        </w:rPr>
        <w:t xml:space="preserve">omparable </w:t>
      </w:r>
      <w:r w:rsidR="00126019">
        <w:rPr>
          <w:b/>
        </w:rPr>
        <w:t>I</w:t>
      </w:r>
      <w:r w:rsidR="00126019" w:rsidRPr="00137D10">
        <w:rPr>
          <w:b/>
        </w:rPr>
        <w:t>nstitutions</w:t>
      </w:r>
    </w:p>
    <w:p w:rsidR="00541B68" w:rsidRDefault="00541B68" w:rsidP="00541B68">
      <w:pPr>
        <w:widowControl/>
        <w:autoSpaceDE/>
        <w:autoSpaceDN/>
        <w:adjustRightInd/>
      </w:pPr>
      <w:r>
        <w:t xml:space="preserve">Having a Gender &amp; Sexuality </w:t>
      </w:r>
      <w:r w:rsidR="00E562F2">
        <w:t>Center</w:t>
      </w:r>
      <w:r>
        <w:t xml:space="preserve"> will both bring Hendrix in line with comparable inst</w:t>
      </w:r>
      <w:r w:rsidR="00103687">
        <w:t>i</w:t>
      </w:r>
      <w:r>
        <w:t>t</w:t>
      </w:r>
      <w:r w:rsidR="00103687">
        <w:t>ut</w:t>
      </w:r>
      <w:r>
        <w:t>ions’ handl</w:t>
      </w:r>
      <w:r w:rsidR="004550CF">
        <w:t>ing of these issues and d</w:t>
      </w:r>
      <w:r>
        <w:t xml:space="preserve">istinguish us among our regional peers. </w:t>
      </w:r>
    </w:p>
    <w:p w:rsidR="00541B68" w:rsidRDefault="00541B68" w:rsidP="00541B68">
      <w:pPr>
        <w:widowControl/>
        <w:autoSpaceDE/>
        <w:autoSpaceDN/>
        <w:adjustRightInd/>
      </w:pPr>
    </w:p>
    <w:p w:rsidR="00541B68" w:rsidRDefault="003F0ADE" w:rsidP="00541B68">
      <w:pPr>
        <w:widowControl/>
        <w:autoSpaceDE/>
        <w:autoSpaceDN/>
        <w:adjustRightInd/>
      </w:pPr>
      <w:r>
        <w:t xml:space="preserve">By creating a Gender &amp; Sexuality </w:t>
      </w:r>
      <w:r w:rsidR="00E562F2">
        <w:t>Center</w:t>
      </w:r>
      <w:r>
        <w:t xml:space="preserve">, Hendrix would </w:t>
      </w:r>
      <w:r w:rsidR="0044380F">
        <w:t>move closer to the median</w:t>
      </w:r>
      <w:r>
        <w:t xml:space="preserve"> level of programing within the Associated Colleges of the South,</w:t>
      </w:r>
      <w:r w:rsidR="0044380F">
        <w:t xml:space="preserve"> where at minimum these issues are handled more systematically under a “multicultural affairs” umbrella. Th</w:t>
      </w:r>
      <w:r w:rsidR="00541B68">
        <w:t xml:space="preserve">ree </w:t>
      </w:r>
      <w:r w:rsidR="0044380F">
        <w:t xml:space="preserve">ACS </w:t>
      </w:r>
      <w:r w:rsidR="00541B68">
        <w:t>institutions (Rollins College, Washington &amp; Lee University, and University of Richmond) have</w:t>
      </w:r>
      <w:r w:rsidR="00103687">
        <w:t xml:space="preserve"> some kind of women’s, gender, and/or sexual minority </w:t>
      </w:r>
      <w:r w:rsidR="00E562F2">
        <w:t>Center</w:t>
      </w:r>
      <w:r w:rsidR="00103687">
        <w:t xml:space="preserve">. </w:t>
      </w:r>
      <w:r w:rsidR="00C51477">
        <w:t>University of Richmond</w:t>
      </w:r>
      <w:r>
        <w:t>’s</w:t>
      </w:r>
      <w:r w:rsidR="007B643E">
        <w:t xml:space="preserve"> Common Ground, particularly it’s Associate Director for LGBTQ Campus Life, and programing under the Dean for </w:t>
      </w:r>
      <w:r w:rsidR="007B643E" w:rsidRPr="007B643E">
        <w:t>Women's Education and Development</w:t>
      </w:r>
      <w:r w:rsidR="007B643E">
        <w:t>, offer a full range of programming</w:t>
      </w:r>
      <w:r w:rsidR="00C51477">
        <w:t xml:space="preserve"> </w:t>
      </w:r>
      <w:r w:rsidR="007B643E">
        <w:t>in these areas with approximate</w:t>
      </w:r>
      <w:r>
        <w:t>ly</w:t>
      </w:r>
      <w:r w:rsidR="007B643E">
        <w:t xml:space="preserve"> five full-time staff members dedicated to these issues.</w:t>
      </w:r>
      <w:r w:rsidR="00BC1C29">
        <w:t xml:space="preserve"> </w:t>
      </w:r>
      <w:r w:rsidR="007B643E">
        <w:t xml:space="preserve">At Rollins there is a faculty member who directs the Lucy Cross </w:t>
      </w:r>
      <w:r w:rsidR="00E562F2">
        <w:t>Center</w:t>
      </w:r>
      <w:r w:rsidR="007B643E">
        <w:t xml:space="preserve"> for Women and Their Allies, </w:t>
      </w:r>
      <w:r w:rsidR="00BC1C29">
        <w:t xml:space="preserve">with </w:t>
      </w:r>
      <w:r w:rsidR="007B643E">
        <w:t xml:space="preserve">three </w:t>
      </w:r>
      <w:r w:rsidR="00BC1C29">
        <w:t>graduate student assistant</w:t>
      </w:r>
      <w:r w:rsidR="007B643E">
        <w:t xml:space="preserve">s as staff. In the fall of 2011 Washington &amp; Lee opened its GLBTQ Resource </w:t>
      </w:r>
      <w:r w:rsidR="00E562F2">
        <w:t>Center</w:t>
      </w:r>
      <w:r w:rsidR="007B643E">
        <w:t xml:space="preserve">, and it has several people in the Counseling </w:t>
      </w:r>
      <w:r w:rsidR="00E562F2">
        <w:t>Center</w:t>
      </w:r>
      <w:r w:rsidR="007B643E">
        <w:t xml:space="preserve"> as well as an Associate Dean of Students for Diversity and I</w:t>
      </w:r>
      <w:r w:rsidR="007B643E" w:rsidRPr="007B643E">
        <w:t>nclusion</w:t>
      </w:r>
      <w:r w:rsidR="007B643E">
        <w:t xml:space="preserve"> that run gender and sexuality programming. In addition, other ACS schools</w:t>
      </w:r>
      <w:r>
        <w:t xml:space="preserve"> offer significantly improved resources and</w:t>
      </w:r>
      <w:r w:rsidRPr="003F0ADE">
        <w:t xml:space="preserve"> programming</w:t>
      </w:r>
      <w:r>
        <w:t xml:space="preserve"> on gender &amp; sexuality through staff</w:t>
      </w:r>
      <w:r w:rsidR="007B643E">
        <w:t xml:space="preserve"> </w:t>
      </w:r>
      <w:r>
        <w:t>members who have at least part of their job des</w:t>
      </w:r>
      <w:r w:rsidR="0044380F">
        <w:t>cription focused on gender &amp; sexuality</w:t>
      </w:r>
      <w:r>
        <w:t xml:space="preserve">, </w:t>
      </w:r>
      <w:r w:rsidR="007B643E">
        <w:t>such as Davidson College</w:t>
      </w:r>
      <w:r>
        <w:t>’s Health Educator</w:t>
      </w:r>
      <w:r w:rsidR="007B643E">
        <w:t>.</w:t>
      </w:r>
    </w:p>
    <w:p w:rsidR="007B643E" w:rsidRPr="00541B68" w:rsidRDefault="007B643E" w:rsidP="00541B68">
      <w:pPr>
        <w:widowControl/>
        <w:autoSpaceDE/>
        <w:autoSpaceDN/>
        <w:adjustRightInd/>
      </w:pPr>
    </w:p>
    <w:p w:rsidR="0044380F" w:rsidRDefault="0044380F" w:rsidP="0044380F">
      <w:pPr>
        <w:widowControl/>
        <w:autoSpaceDE/>
        <w:autoSpaceDN/>
        <w:adjustRightInd/>
      </w:pPr>
      <w:r>
        <w:t xml:space="preserve">Hendrix has an opportunity to distinguish itself among </w:t>
      </w:r>
      <w:r w:rsidR="00126019">
        <w:t>the small liberal arts colleges to which our admitted students commonly cross-apply</w:t>
      </w:r>
      <w:r>
        <w:t>. None of these</w:t>
      </w:r>
      <w:r w:rsidR="00126019">
        <w:t xml:space="preserve"> have a women’s or LGBTQ </w:t>
      </w:r>
      <w:r w:rsidR="00E562F2">
        <w:t>Center</w:t>
      </w:r>
      <w:r w:rsidR="00126019">
        <w:t xml:space="preserve"> or a staff person whose role it is to coordina</w:t>
      </w:r>
      <w:r>
        <w:t>te gender &amp; sexuality resources</w:t>
      </w:r>
      <w:r w:rsidR="00F41836">
        <w:t xml:space="preserve"> and programming</w:t>
      </w:r>
      <w:r>
        <w:t xml:space="preserve">. </w:t>
      </w:r>
    </w:p>
    <w:p w:rsidR="0044380F" w:rsidRDefault="0044380F" w:rsidP="0044380F">
      <w:pPr>
        <w:widowControl/>
        <w:autoSpaceDE/>
        <w:autoSpaceDN/>
        <w:adjustRightInd/>
      </w:pPr>
    </w:p>
    <w:p w:rsidR="004550CF" w:rsidRDefault="0044380F" w:rsidP="008D575F">
      <w:pPr>
        <w:widowControl/>
        <w:autoSpaceDE/>
        <w:autoSpaceDN/>
        <w:adjustRightInd/>
      </w:pPr>
      <w:r>
        <w:t>However, a</w:t>
      </w:r>
      <w:r w:rsidR="00126019">
        <w:t xml:space="preserve"> </w:t>
      </w:r>
      <w:r w:rsidR="00126019" w:rsidRPr="004E63EC">
        <w:t xml:space="preserve">plurality </w:t>
      </w:r>
      <w:r w:rsidR="00126019">
        <w:t>of similarly-resourced</w:t>
      </w:r>
      <w:r w:rsidR="008D575F">
        <w:rPr>
          <w:rStyle w:val="EndnoteReference"/>
        </w:rPr>
        <w:endnoteReference w:id="2"/>
      </w:r>
      <w:r w:rsidR="00126019">
        <w:t xml:space="preserve"> small liberal arts colleges nationwide have a women’s or LGBTQ </w:t>
      </w:r>
      <w:r w:rsidR="00E562F2">
        <w:t>Center</w:t>
      </w:r>
      <w:r w:rsidR="00126019">
        <w:t xml:space="preserve"> or a staff person whose role it is to coordinate gender &amp; sexuality resources</w:t>
      </w:r>
      <w:r>
        <w:t>.  C</w:t>
      </w:r>
      <w:r w:rsidR="00126019">
        <w:t>olleges without any of these generally have an actual department of women’s</w:t>
      </w:r>
      <w:r w:rsidR="004E63EC">
        <w:t>,</w:t>
      </w:r>
      <w:r w:rsidR="00126019">
        <w:t xml:space="preserve"> gender, </w:t>
      </w:r>
      <w:r w:rsidR="004E63EC">
        <w:t>and/or sexuality studies whose</w:t>
      </w:r>
      <w:r w:rsidR="00126019">
        <w:t xml:space="preserve"> budgets frequently cover this type of programming</w:t>
      </w:r>
      <w:r w:rsidR="004550CF">
        <w:t xml:space="preserve"> including a full-time staff member who coordinates programming</w:t>
      </w:r>
      <w:r>
        <w:t>.</w:t>
      </w:r>
      <w:r w:rsidR="004E63EC">
        <w:t xml:space="preserve"> </w:t>
      </w:r>
    </w:p>
    <w:p w:rsidR="004550CF" w:rsidRDefault="004550CF" w:rsidP="008D575F">
      <w:pPr>
        <w:widowControl/>
        <w:autoSpaceDE/>
        <w:autoSpaceDN/>
        <w:adjustRightInd/>
      </w:pPr>
    </w:p>
    <w:p w:rsidR="00126019" w:rsidRDefault="004E63EC" w:rsidP="008D575F">
      <w:pPr>
        <w:widowControl/>
        <w:autoSpaceDE/>
        <w:autoSpaceDN/>
        <w:adjustRightInd/>
      </w:pPr>
      <w:r>
        <w:t>In our research on other institutions in the ACS, our competition schools, and similarly endowed schools, we found that i</w:t>
      </w:r>
      <w:r w:rsidR="00126019">
        <w:t xml:space="preserve">nstitutions without a dedicated women’s or LGBTQ </w:t>
      </w:r>
      <w:r w:rsidR="00E562F2">
        <w:t>Center</w:t>
      </w:r>
      <w:r>
        <w:t>s</w:t>
      </w:r>
      <w:r w:rsidR="00126019">
        <w:t xml:space="preserve"> or staff often still have active faculty-staff-student coalitions addressing sexual assault and intimate partner violence concerns</w:t>
      </w:r>
      <w:r>
        <w:t xml:space="preserve"> that can easily be found via their website.</w:t>
      </w:r>
      <w:r w:rsidR="008D575F">
        <w:t xml:space="preserve"> </w:t>
      </w:r>
      <w:r w:rsidR="00126019">
        <w:t xml:space="preserve">Schools with dedicated women’s or LGBTQ </w:t>
      </w:r>
      <w:r w:rsidR="00E562F2">
        <w:t>Center</w:t>
      </w:r>
      <w:r w:rsidR="00126019">
        <w:t xml:space="preserve">s and staff are, in this sample, disproportionately located in the Northeast. If we intend to compete for students from this region, we should consider matching our programs to those offered by similarly resourced schools such as Dickinson, Franklin and Marshall, and Connecticut College, all of which have active gender and sexuality </w:t>
      </w:r>
      <w:r w:rsidR="00E562F2">
        <w:t>Center</w:t>
      </w:r>
      <w:r w:rsidR="00126019">
        <w:t>s and/or dedicated staff.</w:t>
      </w:r>
    </w:p>
    <w:p w:rsidR="00AA27D8" w:rsidRPr="00BC7EF4" w:rsidRDefault="00AA27D8" w:rsidP="006B3539">
      <w:pPr>
        <w:widowControl/>
        <w:rPr>
          <w:b/>
          <w:bCs/>
          <w:sz w:val="16"/>
          <w:szCs w:val="16"/>
        </w:rPr>
      </w:pPr>
      <w:bookmarkStart w:id="2" w:name="Vision_and_Proposal_Vision_and_Proposal_"/>
    </w:p>
    <w:p w:rsidR="00076881" w:rsidRPr="00BC7EF4" w:rsidRDefault="00076881" w:rsidP="006B3539">
      <w:pPr>
        <w:widowControl/>
        <w:rPr>
          <w:b/>
          <w:bCs/>
          <w:sz w:val="16"/>
          <w:szCs w:val="16"/>
        </w:rPr>
      </w:pPr>
    </w:p>
    <w:bookmarkEnd w:id="2"/>
    <w:p w:rsidR="009D0D30" w:rsidRDefault="009D0D30" w:rsidP="009D0D30">
      <w:pPr>
        <w:widowControl/>
        <w:spacing w:after="160"/>
        <w:rPr>
          <w:b/>
          <w:bCs/>
        </w:rPr>
      </w:pPr>
      <w:r>
        <w:rPr>
          <w:b/>
          <w:bCs/>
        </w:rPr>
        <w:t>Mission Statement, Funding, and Position details</w:t>
      </w:r>
    </w:p>
    <w:p w:rsidR="009D0D30" w:rsidRPr="00876149" w:rsidRDefault="009D0D30" w:rsidP="009D0D30">
      <w:pPr>
        <w:widowControl/>
        <w:spacing w:before="120" w:after="160"/>
        <w:rPr>
          <w:i/>
        </w:rPr>
      </w:pPr>
      <w:r w:rsidRPr="00876149">
        <w:rPr>
          <w:i/>
        </w:rPr>
        <w:t>Mission Statement</w:t>
      </w:r>
    </w:p>
    <w:p w:rsidR="00C24BC7" w:rsidRDefault="009D0D30" w:rsidP="00C24BC7">
      <w:r>
        <w:t xml:space="preserve"> The </w:t>
      </w:r>
      <w:r w:rsidR="00E562F2">
        <w:t>Center</w:t>
      </w:r>
      <w:r>
        <w:t xml:space="preserve"> will provide a safe space for the entire Hendrix community to engage in open conversations, to access and publicize resources, and to facilitate education about gender identity (including masculinity and femininity), sexual health, and the diversity of sexual identities on campus and in a global setting; to support and encourage relevant activities and organizations in the Hendrix community; and to create and foster ties between the Hendrix community and local organizations with similar goals.</w:t>
      </w:r>
    </w:p>
    <w:p w:rsidR="009D0D30" w:rsidRDefault="009D0D30" w:rsidP="00C24BC7"/>
    <w:p w:rsidR="009D0D30" w:rsidRDefault="009D0D30" w:rsidP="009D0D30">
      <w:pPr>
        <w:widowControl/>
        <w:spacing w:after="160"/>
        <w:rPr>
          <w:i/>
        </w:rPr>
      </w:pPr>
      <w:r>
        <w:rPr>
          <w:i/>
        </w:rPr>
        <w:t>Staffing and Space</w:t>
      </w:r>
    </w:p>
    <w:p w:rsidR="009D0D30" w:rsidRDefault="00C628BC" w:rsidP="009D0D30">
      <w:pPr>
        <w:widowControl/>
        <w:spacing w:after="160"/>
      </w:pPr>
      <w:r>
        <w:t xml:space="preserve">In order to increase the institutionalization of gender and sexuality programming and resources, the primary need at Hendrix is to have a full-time dedicated staff member. </w:t>
      </w:r>
      <w:r w:rsidR="009D0D30">
        <w:t xml:space="preserve">The Director of the Gender and Sexuality </w:t>
      </w:r>
      <w:r w:rsidR="00E562F2">
        <w:t>Center</w:t>
      </w:r>
      <w:r w:rsidR="009D0D30">
        <w:t xml:space="preserve"> will have, at minimum, a master’s degree in gender and sexuality studies, student affairs, health education, or related field.  Preference will be given to candidates that have had experience working with these kinds of issues at other colleges and universities. </w:t>
      </w:r>
    </w:p>
    <w:p w:rsidR="009D0D30" w:rsidRDefault="009D0D30" w:rsidP="009D0D30">
      <w:pPr>
        <w:widowControl/>
        <w:spacing w:after="160"/>
      </w:pPr>
      <w:r>
        <w:t xml:space="preserve">There should also be funding for at </w:t>
      </w:r>
      <w:r w:rsidR="00C628BC">
        <w:t xml:space="preserve">least </w:t>
      </w:r>
      <w:r>
        <w:t>one student worker at 8-10 hours per week.  There is also the potential for the office to attain intern/practicum students through University of Central Arkansas’ College Student Personnel Services and Administration master’s program.  Students seeking practicum hours require no funding.</w:t>
      </w:r>
    </w:p>
    <w:p w:rsidR="009D0D30" w:rsidRDefault="009D0D30" w:rsidP="009D0D30">
      <w:pPr>
        <w:widowControl/>
        <w:spacing w:after="160"/>
      </w:pPr>
      <w:r>
        <w:t xml:space="preserve">The salary for this position would be a minimum of $35,000.  If the person teaches for the Gender Studies program and holds a PhD, compensation would need to </w:t>
      </w:r>
      <w:r w:rsidR="00E562F2">
        <w:t xml:space="preserve">be </w:t>
      </w:r>
      <w:r>
        <w:t>adjust</w:t>
      </w:r>
      <w:r w:rsidR="00E562F2">
        <w:t>ed</w:t>
      </w:r>
      <w:r>
        <w:t xml:space="preserve"> accordingly (i.e. $50,000 per year).</w:t>
      </w:r>
    </w:p>
    <w:p w:rsidR="009D0D30" w:rsidRDefault="009D0D30" w:rsidP="009D0D30">
      <w:pPr>
        <w:widowControl/>
        <w:spacing w:after="160"/>
      </w:pPr>
      <w:r>
        <w:t xml:space="preserve">The </w:t>
      </w:r>
      <w:r w:rsidR="00E562F2">
        <w:t>Center</w:t>
      </w:r>
      <w:r>
        <w:t xml:space="preserve"> would be linked to the Counseling Services and Multicultural and International Student Affairs offices.  Directly reporting to the Vice President for Student Affairs office, the office would be located either in the Student Life and Technology </w:t>
      </w:r>
      <w:r w:rsidR="00E562F2">
        <w:t>Center</w:t>
      </w:r>
      <w:r>
        <w:t xml:space="preserve"> or in the Counseling </w:t>
      </w:r>
      <w:r w:rsidR="00E562F2">
        <w:t>Center</w:t>
      </w:r>
      <w:r>
        <w:t xml:space="preserve">. </w:t>
      </w:r>
    </w:p>
    <w:p w:rsidR="009D0D30" w:rsidRDefault="009D0D30" w:rsidP="009D0D30">
      <w:pPr>
        <w:widowControl/>
      </w:pPr>
    </w:p>
    <w:p w:rsidR="009D0D30" w:rsidRDefault="009D0D30" w:rsidP="009D0D30">
      <w:pPr>
        <w:widowControl/>
        <w:spacing w:after="160"/>
        <w:rPr>
          <w:bCs/>
          <w:i/>
        </w:rPr>
      </w:pPr>
      <w:r>
        <w:rPr>
          <w:bCs/>
          <w:i/>
        </w:rPr>
        <w:t xml:space="preserve">Potential for </w:t>
      </w:r>
      <w:r w:rsidRPr="00287854">
        <w:rPr>
          <w:bCs/>
          <w:i/>
        </w:rPr>
        <w:t>Financial Support</w:t>
      </w:r>
    </w:p>
    <w:p w:rsidR="009D0D30" w:rsidRDefault="009D0D30" w:rsidP="009D0D30">
      <w:pPr>
        <w:widowControl/>
        <w:spacing w:after="160"/>
        <w:rPr>
          <w:bCs/>
        </w:rPr>
      </w:pPr>
      <w:r>
        <w:rPr>
          <w:bCs/>
        </w:rPr>
        <w:t>There are a few organizations that offer grants for this type of work such as the Gill, Ford, and Arcus Foundations</w:t>
      </w:r>
      <w:r w:rsidR="00E562F2">
        <w:rPr>
          <w:bCs/>
        </w:rPr>
        <w:t xml:space="preserve"> that the </w:t>
      </w:r>
      <w:r>
        <w:rPr>
          <w:bCs/>
        </w:rPr>
        <w:t xml:space="preserve">Development </w:t>
      </w:r>
      <w:r w:rsidR="00E562F2">
        <w:rPr>
          <w:bCs/>
        </w:rPr>
        <w:t>O</w:t>
      </w:r>
      <w:r>
        <w:rPr>
          <w:bCs/>
        </w:rPr>
        <w:t xml:space="preserve">ffice could </w:t>
      </w:r>
      <w:r w:rsidR="00E562F2">
        <w:rPr>
          <w:bCs/>
        </w:rPr>
        <w:t xml:space="preserve">solicit. Members of the Coalition who created this proposal can </w:t>
      </w:r>
      <w:r>
        <w:rPr>
          <w:bCs/>
        </w:rPr>
        <w:t>assist in these efforts. Additionally, several faculty and staff members believe there are members of the queer community, including alumni, in Arkansas who are looking t</w:t>
      </w:r>
      <w:r w:rsidR="00E562F2">
        <w:rPr>
          <w:bCs/>
        </w:rPr>
        <w:t xml:space="preserve">o give financial gifts to such </w:t>
      </w:r>
      <w:r>
        <w:rPr>
          <w:bCs/>
        </w:rPr>
        <w:t>efforts.</w:t>
      </w:r>
      <w:r w:rsidR="00E562F2">
        <w:rPr>
          <w:bCs/>
        </w:rPr>
        <w:t xml:space="preserve"> These individuals are unlikely to give to other campus initiatives. </w:t>
      </w:r>
    </w:p>
    <w:p w:rsidR="009D0D30" w:rsidRPr="00F15922" w:rsidRDefault="009D0D30" w:rsidP="009D0D30">
      <w:pPr>
        <w:widowControl/>
        <w:spacing w:after="160"/>
        <w:rPr>
          <w:bCs/>
        </w:rPr>
      </w:pPr>
      <w:r>
        <w:rPr>
          <w:bCs/>
        </w:rPr>
        <w:t xml:space="preserve">Since much of the current programming costs are currently covered by various student organizations, the </w:t>
      </w:r>
      <w:r w:rsidR="00E562F2">
        <w:rPr>
          <w:bCs/>
        </w:rPr>
        <w:t>Center</w:t>
      </w:r>
      <w:r>
        <w:rPr>
          <w:bCs/>
        </w:rPr>
        <w:t xml:space="preserve"> would continue to foster collaborations with those groups, and could be partially supported by the student activities fee. Some institutions have even created an additional student fee to cover the financial needs of their gender/sexuality </w:t>
      </w:r>
      <w:r w:rsidR="00E562F2">
        <w:rPr>
          <w:bCs/>
        </w:rPr>
        <w:t>Center</w:t>
      </w:r>
      <w:r>
        <w:rPr>
          <w:bCs/>
        </w:rPr>
        <w:t>s.</w:t>
      </w:r>
    </w:p>
    <w:p w:rsidR="009D0D30" w:rsidRPr="0099176C" w:rsidRDefault="009D0D30" w:rsidP="009D0D30">
      <w:pPr>
        <w:widowControl/>
        <w:spacing w:after="160"/>
        <w:rPr>
          <w:bCs/>
          <w:i/>
        </w:rPr>
      </w:pPr>
      <w:r>
        <w:rPr>
          <w:bCs/>
          <w:i/>
        </w:rPr>
        <w:t>Yearly Budget Request Summary</w:t>
      </w:r>
    </w:p>
    <w:p w:rsidR="009D0D30" w:rsidRPr="001D3282" w:rsidRDefault="009D0D30" w:rsidP="009D0D30">
      <w:pPr>
        <w:widowControl/>
        <w:spacing w:after="160"/>
        <w:rPr>
          <w:bCs/>
        </w:rPr>
      </w:pPr>
      <w:r w:rsidRPr="001D3282">
        <w:rPr>
          <w:bCs/>
        </w:rPr>
        <w:t>Director Position Yearly salary: $35,000</w:t>
      </w:r>
    </w:p>
    <w:p w:rsidR="009D0D30" w:rsidRDefault="009D0D30" w:rsidP="009D0D30">
      <w:pPr>
        <w:widowControl/>
        <w:spacing w:after="160"/>
        <w:rPr>
          <w:bCs/>
        </w:rPr>
      </w:pPr>
      <w:r w:rsidRPr="001D3282">
        <w:rPr>
          <w:bCs/>
        </w:rPr>
        <w:t>Programming Budget</w:t>
      </w:r>
      <w:r>
        <w:rPr>
          <w:bCs/>
        </w:rPr>
        <w:t>: $10,000</w:t>
      </w:r>
    </w:p>
    <w:p w:rsidR="009D0D30" w:rsidRDefault="009D0D30" w:rsidP="009D0D30">
      <w:pPr>
        <w:widowControl/>
        <w:spacing w:after="160"/>
        <w:rPr>
          <w:bCs/>
        </w:rPr>
      </w:pPr>
      <w:r>
        <w:rPr>
          <w:bCs/>
        </w:rPr>
        <w:t>Student worker budget: $1500</w:t>
      </w:r>
    </w:p>
    <w:p w:rsidR="009D0D30" w:rsidRDefault="009D0D30" w:rsidP="009D0D30">
      <w:pPr>
        <w:widowControl/>
        <w:spacing w:after="160"/>
        <w:rPr>
          <w:bCs/>
          <w:i/>
        </w:rPr>
      </w:pPr>
      <w:r w:rsidRPr="008D4993">
        <w:rPr>
          <w:bCs/>
          <w:i/>
        </w:rPr>
        <w:t xml:space="preserve">The lifetime establishment of a Gender &amp; Sexuality </w:t>
      </w:r>
      <w:r w:rsidR="00E562F2">
        <w:rPr>
          <w:bCs/>
          <w:i/>
        </w:rPr>
        <w:t>Center</w:t>
      </w:r>
      <w:r w:rsidRPr="008D4993">
        <w:rPr>
          <w:bCs/>
          <w:i/>
        </w:rPr>
        <w:t xml:space="preserve"> at Hendrix College would require approximately $1,000,000 endowment.</w:t>
      </w:r>
    </w:p>
    <w:p w:rsidR="009D0D30" w:rsidRDefault="009D0D30" w:rsidP="009D0D30">
      <w:pPr>
        <w:widowControl/>
        <w:spacing w:after="160"/>
        <w:rPr>
          <w:bCs/>
          <w:i/>
        </w:rPr>
      </w:pPr>
    </w:p>
    <w:p w:rsidR="003612AA" w:rsidRDefault="00126019" w:rsidP="009D0D30">
      <w:pPr>
        <w:widowControl/>
        <w:spacing w:after="160"/>
        <w:rPr>
          <w:b/>
          <w:bCs/>
        </w:rPr>
      </w:pPr>
      <w:r>
        <w:rPr>
          <w:b/>
          <w:bCs/>
        </w:rPr>
        <w:t>B</w:t>
      </w:r>
      <w:r w:rsidR="009D0D30">
        <w:rPr>
          <w:b/>
          <w:bCs/>
        </w:rPr>
        <w:t>enefits of</w:t>
      </w:r>
      <w:r>
        <w:rPr>
          <w:b/>
          <w:bCs/>
        </w:rPr>
        <w:t xml:space="preserve"> a Gender &amp; Sexuality </w:t>
      </w:r>
      <w:r w:rsidR="00E562F2">
        <w:rPr>
          <w:b/>
          <w:bCs/>
        </w:rPr>
        <w:t>Center</w:t>
      </w:r>
    </w:p>
    <w:p w:rsidR="009D0D30" w:rsidRDefault="009D0D30" w:rsidP="009D0D30">
      <w:pPr>
        <w:widowControl/>
      </w:pPr>
      <w:r>
        <w:t xml:space="preserve">This proposal does two things 1) incorporates the best practices of high-functioning and mature gender &amp; LGBTQ programs on other campuses and 2) builds on existing strengths at Hendrix College in general. These emphases led to a vision of a Gender &amp; Sexuality </w:t>
      </w:r>
      <w:r w:rsidR="00E562F2">
        <w:t>Center</w:t>
      </w:r>
      <w:r>
        <w:t xml:space="preserve"> that will:</w:t>
      </w:r>
    </w:p>
    <w:p w:rsidR="009D0D30" w:rsidRDefault="009D0D30" w:rsidP="009D0D30">
      <w:pPr>
        <w:widowControl/>
      </w:pPr>
    </w:p>
    <w:p w:rsidR="009D0D30" w:rsidRDefault="007B7C1B" w:rsidP="009D0D30">
      <w:pPr>
        <w:widowControl/>
        <w:numPr>
          <w:ilvl w:val="0"/>
          <w:numId w:val="4"/>
        </w:numPr>
        <w:spacing w:after="160"/>
      </w:pPr>
      <w:r>
        <w:t>P</w:t>
      </w:r>
      <w:r w:rsidR="009D0D30">
        <w:t xml:space="preserve">rovide a vibrant array of resources, support, and programming on gender &amp; sexuality, </w:t>
      </w:r>
      <w:r w:rsidR="00E562F2">
        <w:t>Center</w:t>
      </w:r>
      <w:r w:rsidR="009D0D30">
        <w:t>ed on the needs of students and student organizations</w:t>
      </w:r>
    </w:p>
    <w:p w:rsidR="009D0D30" w:rsidRDefault="007B7C1B" w:rsidP="009D0D30">
      <w:pPr>
        <w:widowControl/>
        <w:numPr>
          <w:ilvl w:val="0"/>
          <w:numId w:val="4"/>
        </w:numPr>
        <w:spacing w:before="120" w:after="160"/>
      </w:pPr>
      <w:r>
        <w:t>C</w:t>
      </w:r>
      <w:r w:rsidR="009D0D30">
        <w:t xml:space="preserve">ontribute in broad and visible ways to the social and academic life of the campus </w:t>
      </w:r>
    </w:p>
    <w:p w:rsidR="009D0D30" w:rsidRDefault="007B7C1B" w:rsidP="009D0D30">
      <w:pPr>
        <w:widowControl/>
        <w:numPr>
          <w:ilvl w:val="0"/>
          <w:numId w:val="4"/>
        </w:numPr>
        <w:spacing w:before="120" w:after="160"/>
      </w:pPr>
      <w:r>
        <w:t>M</w:t>
      </w:r>
      <w:r w:rsidR="009D0D30">
        <w:t xml:space="preserve">odel the value of civic engagement on- and off-campus, through vigorous advocacy for students and policies, and by </w:t>
      </w:r>
      <w:r w:rsidR="009D0D30" w:rsidRPr="00C51548">
        <w:t xml:space="preserve">fostering sustained civic engagement opportunities through </w:t>
      </w:r>
      <w:r w:rsidR="009D0D30">
        <w:t>Odyssey</w:t>
      </w:r>
      <w:r w:rsidR="009D0D30" w:rsidRPr="00C51548">
        <w:t xml:space="preserve"> and </w:t>
      </w:r>
      <w:r w:rsidR="009D0D30">
        <w:t xml:space="preserve">Career Services </w:t>
      </w:r>
    </w:p>
    <w:p w:rsidR="009D0D30" w:rsidRDefault="007B7C1B" w:rsidP="009D0D30">
      <w:pPr>
        <w:widowControl/>
        <w:numPr>
          <w:ilvl w:val="0"/>
          <w:numId w:val="4"/>
        </w:numPr>
        <w:spacing w:before="120" w:after="160"/>
      </w:pPr>
      <w:r>
        <w:t>I</w:t>
      </w:r>
      <w:r w:rsidR="009D0D30">
        <w:t>ntegrate with the structure and programming of existing diversity initiatives on campus, with particular attention to the “intersectional” nature of identity</w:t>
      </w:r>
    </w:p>
    <w:p w:rsidR="009D0D30" w:rsidRPr="009D0D30" w:rsidRDefault="007B7C1B" w:rsidP="009D0D30">
      <w:pPr>
        <w:widowControl/>
        <w:numPr>
          <w:ilvl w:val="0"/>
          <w:numId w:val="4"/>
        </w:numPr>
        <w:spacing w:before="120" w:after="160"/>
      </w:pPr>
      <w:r>
        <w:t>M</w:t>
      </w:r>
      <w:r w:rsidR="009D0D30">
        <w:t>onitor and achieve compliance with federal gender and sexuality educational policies.</w:t>
      </w:r>
    </w:p>
    <w:p w:rsidR="00EF570C" w:rsidRDefault="007348D2" w:rsidP="003612AA">
      <w:pPr>
        <w:widowControl/>
        <w:spacing w:after="160"/>
        <w:rPr>
          <w:bCs/>
        </w:rPr>
      </w:pPr>
      <w:r>
        <w:rPr>
          <w:bCs/>
        </w:rPr>
        <w:t>Beyond the</w:t>
      </w:r>
      <w:r w:rsidR="007B7C1B">
        <w:rPr>
          <w:bCs/>
        </w:rPr>
        <w:t>se</w:t>
      </w:r>
      <w:r>
        <w:rPr>
          <w:bCs/>
        </w:rPr>
        <w:t xml:space="preserve"> manifest benefits to</w:t>
      </w:r>
      <w:r w:rsidR="00126019">
        <w:rPr>
          <w:bCs/>
        </w:rPr>
        <w:t xml:space="preserve"> students </w:t>
      </w:r>
      <w:r w:rsidR="00EF570C">
        <w:rPr>
          <w:bCs/>
        </w:rPr>
        <w:t>and</w:t>
      </w:r>
      <w:r>
        <w:rPr>
          <w:bCs/>
        </w:rPr>
        <w:t xml:space="preserve"> the institution,</w:t>
      </w:r>
      <w:r w:rsidR="00126019">
        <w:rPr>
          <w:bCs/>
        </w:rPr>
        <w:t xml:space="preserve"> having more solidified programming and resources in the areas of sex</w:t>
      </w:r>
      <w:r w:rsidR="00F60142">
        <w:rPr>
          <w:bCs/>
        </w:rPr>
        <w:t>u</w:t>
      </w:r>
      <w:r w:rsidR="00126019">
        <w:rPr>
          <w:bCs/>
        </w:rPr>
        <w:t>a</w:t>
      </w:r>
      <w:r>
        <w:rPr>
          <w:bCs/>
        </w:rPr>
        <w:t>l</w:t>
      </w:r>
      <w:r w:rsidR="00126019">
        <w:rPr>
          <w:bCs/>
        </w:rPr>
        <w:t xml:space="preserve"> health, sexuality, and gender, </w:t>
      </w:r>
      <w:r>
        <w:rPr>
          <w:bCs/>
        </w:rPr>
        <w:t>this</w:t>
      </w:r>
      <w:r w:rsidR="00EF570C">
        <w:rPr>
          <w:bCs/>
        </w:rPr>
        <w:t xml:space="preserve"> </w:t>
      </w:r>
      <w:r w:rsidR="00E562F2">
        <w:rPr>
          <w:bCs/>
        </w:rPr>
        <w:t>Center</w:t>
      </w:r>
      <w:r w:rsidR="00126019">
        <w:rPr>
          <w:bCs/>
        </w:rPr>
        <w:t xml:space="preserve"> would offer additional </w:t>
      </w:r>
      <w:r>
        <w:rPr>
          <w:bCs/>
        </w:rPr>
        <w:t xml:space="preserve">latent </w:t>
      </w:r>
      <w:r w:rsidR="00126019">
        <w:rPr>
          <w:bCs/>
        </w:rPr>
        <w:t>benefits</w:t>
      </w:r>
      <w:r w:rsidR="00EF570C">
        <w:rPr>
          <w:bCs/>
        </w:rPr>
        <w:t xml:space="preserve"> to Hendrix College</w:t>
      </w:r>
      <w:r>
        <w:rPr>
          <w:bCs/>
        </w:rPr>
        <w:t>:</w:t>
      </w:r>
      <w:r w:rsidR="00126019">
        <w:rPr>
          <w:bCs/>
        </w:rPr>
        <w:t xml:space="preserve"> </w:t>
      </w:r>
    </w:p>
    <w:p w:rsidR="003612AA" w:rsidRPr="007348D2" w:rsidRDefault="00126019" w:rsidP="007348D2">
      <w:pPr>
        <w:pStyle w:val="ListParagraph"/>
        <w:widowControl/>
        <w:numPr>
          <w:ilvl w:val="0"/>
          <w:numId w:val="20"/>
        </w:numPr>
        <w:spacing w:after="160"/>
        <w:rPr>
          <w:bCs/>
        </w:rPr>
      </w:pPr>
      <w:r w:rsidRPr="007348D2">
        <w:rPr>
          <w:bCs/>
        </w:rPr>
        <w:t xml:space="preserve">Much of the existing programming and resources </w:t>
      </w:r>
      <w:r w:rsidR="007348D2" w:rsidRPr="007348D2">
        <w:rPr>
          <w:bCs/>
        </w:rPr>
        <w:t xml:space="preserve">on gender </w:t>
      </w:r>
      <w:r w:rsidR="00EF570C" w:rsidRPr="007348D2">
        <w:rPr>
          <w:bCs/>
        </w:rPr>
        <w:t xml:space="preserve">&amp; sexuality </w:t>
      </w:r>
      <w:r w:rsidRPr="007348D2">
        <w:rPr>
          <w:bCs/>
        </w:rPr>
        <w:t>are offered by overwhelmed staff &amp; faculty, for whom this is a</w:t>
      </w:r>
      <w:r w:rsidR="00EF570C" w:rsidRPr="007348D2">
        <w:rPr>
          <w:bCs/>
        </w:rPr>
        <w:t xml:space="preserve"> large burden beyond their other</w:t>
      </w:r>
      <w:r w:rsidRPr="007348D2">
        <w:rPr>
          <w:bCs/>
        </w:rPr>
        <w:t xml:space="preserve"> teaching, service, and professional development requirements. Providing a paid staff person to run this programming will significantly free up the time of the Director of Counseling Services,</w:t>
      </w:r>
      <w:r w:rsidR="007B7C1B">
        <w:rPr>
          <w:bCs/>
        </w:rPr>
        <w:t xml:space="preserve"> the Director of Student Activities,</w:t>
      </w:r>
      <w:r w:rsidRPr="007348D2">
        <w:rPr>
          <w:bCs/>
        </w:rPr>
        <w:t xml:space="preserve"> the staff in the MISS office, </w:t>
      </w:r>
      <w:r w:rsidR="007B7C1B">
        <w:rPr>
          <w:bCs/>
        </w:rPr>
        <w:t>faculty who work on gender and sexuality issues, etc</w:t>
      </w:r>
      <w:r w:rsidR="00076881" w:rsidRPr="007348D2">
        <w:rPr>
          <w:bCs/>
        </w:rPr>
        <w:t>.</w:t>
      </w:r>
    </w:p>
    <w:p w:rsidR="003612AA" w:rsidRPr="007348D2" w:rsidRDefault="00126019" w:rsidP="007348D2">
      <w:pPr>
        <w:pStyle w:val="ListParagraph"/>
        <w:widowControl/>
        <w:numPr>
          <w:ilvl w:val="0"/>
          <w:numId w:val="20"/>
        </w:numPr>
        <w:spacing w:after="160"/>
        <w:rPr>
          <w:bCs/>
        </w:rPr>
      </w:pPr>
      <w:r w:rsidRPr="007348D2">
        <w:rPr>
          <w:bCs/>
        </w:rPr>
        <w:t xml:space="preserve">Hendrix College has already made a name for itself </w:t>
      </w:r>
      <w:r w:rsidR="00EF570C" w:rsidRPr="007348D2">
        <w:rPr>
          <w:bCs/>
        </w:rPr>
        <w:t xml:space="preserve">in the areas of inclusivity around gender and sexuality </w:t>
      </w:r>
      <w:r w:rsidRPr="007348D2">
        <w:rPr>
          <w:bCs/>
        </w:rPr>
        <w:t xml:space="preserve">with </w:t>
      </w:r>
      <w:r w:rsidR="00EF570C" w:rsidRPr="007348D2">
        <w:rPr>
          <w:bCs/>
        </w:rPr>
        <w:t>the addition of gender neutral housing and having been an early Arkansas adopter of adding “sexual orientation” to the Non-</w:t>
      </w:r>
      <w:r w:rsidR="00E20DFA" w:rsidRPr="007348D2">
        <w:rPr>
          <w:bCs/>
        </w:rPr>
        <w:t>Discrimination Statement</w:t>
      </w:r>
      <w:r w:rsidR="003612AA" w:rsidRPr="007348D2">
        <w:rPr>
          <w:bCs/>
        </w:rPr>
        <w:t xml:space="preserve">. </w:t>
      </w:r>
      <w:r w:rsidR="00FB73D1" w:rsidRPr="007348D2">
        <w:rPr>
          <w:bCs/>
        </w:rPr>
        <w:t>Obviously, committing t</w:t>
      </w:r>
      <w:r w:rsidR="00E20DFA" w:rsidRPr="007348D2">
        <w:rPr>
          <w:bCs/>
        </w:rPr>
        <w:t xml:space="preserve">he additional resources outlined in this proposal </w:t>
      </w:r>
      <w:r w:rsidR="00FB73D1" w:rsidRPr="007348D2">
        <w:rPr>
          <w:bCs/>
        </w:rPr>
        <w:t>will</w:t>
      </w:r>
      <w:r w:rsidR="00E20DFA" w:rsidRPr="007348D2">
        <w:rPr>
          <w:bCs/>
        </w:rPr>
        <w:t xml:space="preserve"> </w:t>
      </w:r>
      <w:r w:rsidR="00FB73D1" w:rsidRPr="007348D2">
        <w:rPr>
          <w:bCs/>
        </w:rPr>
        <w:t xml:space="preserve">help </w:t>
      </w:r>
      <w:r w:rsidR="00EF570C" w:rsidRPr="007348D2">
        <w:rPr>
          <w:bCs/>
        </w:rPr>
        <w:t xml:space="preserve">Hendrix </w:t>
      </w:r>
      <w:r w:rsidR="00FB73D1" w:rsidRPr="007348D2">
        <w:rPr>
          <w:bCs/>
        </w:rPr>
        <w:t>to d</w:t>
      </w:r>
      <w:r w:rsidR="00EF570C" w:rsidRPr="007348D2">
        <w:rPr>
          <w:bCs/>
        </w:rPr>
        <w:t>eliver on the promise of its policy</w:t>
      </w:r>
      <w:r w:rsidR="00FB73D1" w:rsidRPr="007348D2">
        <w:rPr>
          <w:bCs/>
        </w:rPr>
        <w:t xml:space="preserve">. Doing so will also distinguish </w:t>
      </w:r>
      <w:r w:rsidRPr="007348D2">
        <w:rPr>
          <w:bCs/>
        </w:rPr>
        <w:t>Hendrix</w:t>
      </w:r>
      <w:r w:rsidR="00FB73D1" w:rsidRPr="007348D2">
        <w:rPr>
          <w:bCs/>
        </w:rPr>
        <w:t xml:space="preserve"> as regional leader when it comes to </w:t>
      </w:r>
      <w:r w:rsidRPr="007348D2">
        <w:rPr>
          <w:bCs/>
        </w:rPr>
        <w:t xml:space="preserve">gender and </w:t>
      </w:r>
      <w:r w:rsidR="00FB73D1" w:rsidRPr="007348D2">
        <w:rPr>
          <w:bCs/>
        </w:rPr>
        <w:t xml:space="preserve">LGBTQ issues, especially given </w:t>
      </w:r>
      <w:r w:rsidRPr="007348D2">
        <w:rPr>
          <w:bCs/>
        </w:rPr>
        <w:t>the mid-South</w:t>
      </w:r>
      <w:r w:rsidR="00FB73D1" w:rsidRPr="007348D2">
        <w:rPr>
          <w:bCs/>
        </w:rPr>
        <w:t xml:space="preserve">’s economic and political climate, which impede </w:t>
      </w:r>
      <w:r w:rsidR="007E3314" w:rsidRPr="007348D2">
        <w:rPr>
          <w:bCs/>
        </w:rPr>
        <w:t>many</w:t>
      </w:r>
      <w:r w:rsidR="00FB73D1" w:rsidRPr="007348D2">
        <w:rPr>
          <w:bCs/>
        </w:rPr>
        <w:t xml:space="preserve"> schools from taking such steps. </w:t>
      </w:r>
    </w:p>
    <w:p w:rsidR="007348D2" w:rsidRDefault="004E63EC" w:rsidP="00126019">
      <w:pPr>
        <w:pStyle w:val="ListParagraph"/>
        <w:widowControl/>
        <w:numPr>
          <w:ilvl w:val="0"/>
          <w:numId w:val="20"/>
        </w:numPr>
        <w:spacing w:after="160"/>
        <w:rPr>
          <w:bCs/>
        </w:rPr>
      </w:pPr>
      <w:r w:rsidRPr="007348D2">
        <w:rPr>
          <w:bCs/>
        </w:rPr>
        <w:t>Our observations of other institutions</w:t>
      </w:r>
      <w:r w:rsidR="00B11743" w:rsidRPr="007348D2">
        <w:rPr>
          <w:bCs/>
        </w:rPr>
        <w:t xml:space="preserve"> suggest that opening a Gender &amp; Sexuality </w:t>
      </w:r>
      <w:r w:rsidR="00E562F2">
        <w:rPr>
          <w:bCs/>
        </w:rPr>
        <w:t>Center</w:t>
      </w:r>
      <w:r w:rsidR="00EF570C" w:rsidRPr="007348D2">
        <w:rPr>
          <w:bCs/>
        </w:rPr>
        <w:t xml:space="preserve"> offers</w:t>
      </w:r>
      <w:r w:rsidR="00B11743" w:rsidRPr="007348D2">
        <w:rPr>
          <w:bCs/>
        </w:rPr>
        <w:t xml:space="preserve"> a unique way to foster</w:t>
      </w:r>
      <w:r w:rsidR="00DD6CAA" w:rsidRPr="007348D2">
        <w:rPr>
          <w:bCs/>
        </w:rPr>
        <w:t xml:space="preserve"> connections</w:t>
      </w:r>
      <w:r w:rsidR="00B11743" w:rsidRPr="007348D2">
        <w:rPr>
          <w:bCs/>
        </w:rPr>
        <w:t xml:space="preserve"> with alumni; m</w:t>
      </w:r>
      <w:r w:rsidR="00EF570C" w:rsidRPr="007348D2">
        <w:rPr>
          <w:bCs/>
        </w:rPr>
        <w:t xml:space="preserve">any schools seem to be treating advocacy on campus as a way to </w:t>
      </w:r>
      <w:r w:rsidR="00B11743" w:rsidRPr="007348D2">
        <w:rPr>
          <w:bCs/>
        </w:rPr>
        <w:t>deepen the relationship</w:t>
      </w:r>
      <w:r w:rsidR="00EF570C" w:rsidRPr="007348D2">
        <w:rPr>
          <w:bCs/>
        </w:rPr>
        <w:t xml:space="preserve"> between alumni and the institution. These </w:t>
      </w:r>
      <w:r w:rsidR="00B11743" w:rsidRPr="007348D2">
        <w:rPr>
          <w:bCs/>
        </w:rPr>
        <w:t>connections</w:t>
      </w:r>
      <w:r w:rsidR="00EF570C" w:rsidRPr="007348D2">
        <w:rPr>
          <w:bCs/>
        </w:rPr>
        <w:t xml:space="preserve"> could allow Development to </w:t>
      </w:r>
      <w:r w:rsidR="00DD6CAA" w:rsidRPr="007348D2">
        <w:rPr>
          <w:bCs/>
        </w:rPr>
        <w:t xml:space="preserve">solicit general donations </w:t>
      </w:r>
      <w:r w:rsidR="00B11743" w:rsidRPr="007348D2">
        <w:rPr>
          <w:bCs/>
        </w:rPr>
        <w:t>as well as</w:t>
      </w:r>
      <w:r w:rsidR="00DD6CAA" w:rsidRPr="007348D2">
        <w:rPr>
          <w:bCs/>
        </w:rPr>
        <w:t xml:space="preserve"> gender &amp; sexuality focused gifts to the </w:t>
      </w:r>
      <w:r w:rsidR="00B11743" w:rsidRPr="007348D2">
        <w:rPr>
          <w:bCs/>
        </w:rPr>
        <w:t>college</w:t>
      </w:r>
      <w:r w:rsidR="00DD6CAA" w:rsidRPr="007348D2">
        <w:rPr>
          <w:bCs/>
        </w:rPr>
        <w:t>.</w:t>
      </w:r>
    </w:p>
    <w:p w:rsidR="003D0881" w:rsidRPr="007348D2" w:rsidRDefault="00126019" w:rsidP="00126019">
      <w:pPr>
        <w:pStyle w:val="ListParagraph"/>
        <w:widowControl/>
        <w:numPr>
          <w:ilvl w:val="0"/>
          <w:numId w:val="20"/>
        </w:numPr>
        <w:spacing w:after="160"/>
        <w:rPr>
          <w:bCs/>
        </w:rPr>
      </w:pPr>
      <w:r w:rsidRPr="007348D2">
        <w:rPr>
          <w:bCs/>
        </w:rPr>
        <w:t>Hendrix’s</w:t>
      </w:r>
      <w:r w:rsidR="001D465C" w:rsidRPr="007348D2">
        <w:rPr>
          <w:bCs/>
        </w:rPr>
        <w:t xml:space="preserve"> recruitment efforts w</w:t>
      </w:r>
      <w:r w:rsidR="00B11743" w:rsidRPr="007348D2">
        <w:rPr>
          <w:bCs/>
        </w:rPr>
        <w:t xml:space="preserve">ould also benefit from having </w:t>
      </w:r>
      <w:r w:rsidR="001D465C" w:rsidRPr="007348D2">
        <w:rPr>
          <w:bCs/>
        </w:rPr>
        <w:t xml:space="preserve">the resources we propose. </w:t>
      </w:r>
      <w:r w:rsidR="00B11743" w:rsidRPr="007348D2">
        <w:rPr>
          <w:bCs/>
        </w:rPr>
        <w:t>It would increase out score on the LGBT Friendly Campus Climate Index, increasing the likelihood for those students to choose Hendrix</w:t>
      </w:r>
      <w:r w:rsidR="00B11743">
        <w:rPr>
          <w:rStyle w:val="EndnoteReference"/>
          <w:bCs/>
        </w:rPr>
        <w:endnoteReference w:id="3"/>
      </w:r>
      <w:r w:rsidR="00B11743" w:rsidRPr="007348D2">
        <w:rPr>
          <w:bCs/>
        </w:rPr>
        <w:t xml:space="preserve">. Additionally, potential students interested in gender issues and parents who seek a campus with greater resources and programming on sexual health and sexual assault prevention will be attracted by this </w:t>
      </w:r>
      <w:r w:rsidR="00E562F2">
        <w:rPr>
          <w:bCs/>
        </w:rPr>
        <w:t>Center</w:t>
      </w:r>
      <w:r w:rsidR="00B11743" w:rsidRPr="007348D2">
        <w:rPr>
          <w:bCs/>
        </w:rPr>
        <w:t xml:space="preserve">. </w:t>
      </w:r>
    </w:p>
    <w:p w:rsidR="006B3539" w:rsidRDefault="006B3539" w:rsidP="006B3539">
      <w:pPr>
        <w:widowControl/>
        <w:ind w:left="720" w:hanging="720"/>
      </w:pPr>
    </w:p>
    <w:p w:rsidR="005239BD" w:rsidRDefault="007348D2" w:rsidP="007348D2">
      <w:pPr>
        <w:widowControl/>
        <w:ind w:left="720" w:hanging="720"/>
      </w:pPr>
      <w:r>
        <w:t xml:space="preserve">Respectfully Submitted by the Coalition on Gender and Sexuality at Hendrix (COGS) </w:t>
      </w:r>
    </w:p>
    <w:p w:rsidR="007348D2" w:rsidRDefault="007348D2" w:rsidP="007348D2">
      <w:pPr>
        <w:widowControl/>
        <w:ind w:left="720" w:hanging="720"/>
      </w:pPr>
      <w:r>
        <w:t>Dr. Lisa Leitz, Assistant Professor of Sociology</w:t>
      </w:r>
    </w:p>
    <w:p w:rsidR="007348D2" w:rsidRDefault="007348D2" w:rsidP="007348D2">
      <w:pPr>
        <w:widowControl/>
        <w:ind w:left="720" w:hanging="720"/>
      </w:pPr>
      <w:r>
        <w:t>Dr. Mary Anne Seibert, Director of Counseling Services</w:t>
      </w:r>
    </w:p>
    <w:p w:rsidR="007348D2" w:rsidRDefault="007348D2" w:rsidP="007348D2">
      <w:pPr>
        <w:widowControl/>
        <w:ind w:left="720" w:hanging="720"/>
      </w:pPr>
      <w:r>
        <w:t>Tonya Hale, Director of Student Activities</w:t>
      </w:r>
    </w:p>
    <w:p w:rsidR="007348D2" w:rsidRDefault="007348D2" w:rsidP="007348D2">
      <w:pPr>
        <w:widowControl/>
        <w:ind w:left="720" w:hanging="720"/>
      </w:pPr>
      <w:r>
        <w:t xml:space="preserve">Dr. Toni Jaudon, Assistant Professor of English </w:t>
      </w:r>
    </w:p>
    <w:p w:rsidR="007348D2" w:rsidRDefault="007348D2" w:rsidP="007348D2">
      <w:pPr>
        <w:widowControl/>
        <w:ind w:left="720" w:hanging="720"/>
      </w:pPr>
      <w:r>
        <w:t>Dr. Leslie Zorwick, Assistant Professor of Psychology</w:t>
      </w:r>
    </w:p>
    <w:p w:rsidR="007348D2" w:rsidRDefault="007348D2" w:rsidP="007348D2">
      <w:pPr>
        <w:widowControl/>
        <w:ind w:left="720" w:hanging="720"/>
      </w:pPr>
      <w:r>
        <w:t>Dr. Sasha Pfau, Assistant Professor of History</w:t>
      </w:r>
    </w:p>
    <w:p w:rsidR="007348D2" w:rsidRDefault="007348D2" w:rsidP="007348D2">
      <w:pPr>
        <w:widowControl/>
        <w:ind w:left="720" w:hanging="720"/>
      </w:pPr>
      <w:r>
        <w:t>Holly Nelson, Area Coordinator for Residence Life</w:t>
      </w:r>
    </w:p>
    <w:p w:rsidR="007348D2" w:rsidRDefault="007348D2" w:rsidP="007348D2">
      <w:pPr>
        <w:widowControl/>
        <w:ind w:left="720" w:hanging="720"/>
      </w:pPr>
      <w:r>
        <w:t>Julie Wagner, ‘13</w:t>
      </w:r>
    </w:p>
    <w:p w:rsidR="007348D2" w:rsidRDefault="007348D2" w:rsidP="007348D2">
      <w:pPr>
        <w:widowControl/>
        <w:ind w:left="720" w:hanging="720"/>
      </w:pPr>
      <w:r>
        <w:t>Kitty Barlow, ‘13</w:t>
      </w:r>
    </w:p>
    <w:p w:rsidR="007348D2" w:rsidRDefault="007348D2" w:rsidP="007348D2">
      <w:pPr>
        <w:widowControl/>
        <w:ind w:left="720" w:hanging="720"/>
      </w:pPr>
      <w:r>
        <w:t>Mary Austin Tisdale, ‘14</w:t>
      </w:r>
    </w:p>
    <w:p w:rsidR="007348D2" w:rsidRDefault="007348D2" w:rsidP="007348D2">
      <w:pPr>
        <w:widowControl/>
        <w:ind w:left="720" w:hanging="720"/>
      </w:pPr>
      <w:r>
        <w:t>Madelyn Whitley, ‘14</w:t>
      </w:r>
    </w:p>
    <w:p w:rsidR="007348D2" w:rsidRDefault="007348D2" w:rsidP="007348D2">
      <w:pPr>
        <w:widowControl/>
        <w:ind w:left="720" w:hanging="720"/>
      </w:pPr>
      <w:r>
        <w:t>David Allen, ‘14</w:t>
      </w:r>
    </w:p>
    <w:p w:rsidR="007348D2" w:rsidRDefault="007348D2" w:rsidP="007348D2">
      <w:pPr>
        <w:widowControl/>
        <w:ind w:left="720" w:hanging="720"/>
      </w:pPr>
      <w:r>
        <w:t>Linh Chuong, ‘13</w:t>
      </w:r>
    </w:p>
    <w:p w:rsidR="007348D2" w:rsidRPr="007348D2" w:rsidRDefault="007348D2" w:rsidP="007348D2">
      <w:pPr>
        <w:widowControl/>
        <w:ind w:left="720" w:hanging="720"/>
      </w:pPr>
    </w:p>
    <w:sectPr w:rsidR="007348D2" w:rsidRPr="007348D2" w:rsidSect="00366667">
      <w:headerReference w:type="default" r:id="rId8"/>
      <w:footerReference w:type="default" r:id="rId9"/>
      <w:headerReference w:type="first" r:id="rId10"/>
      <w:type w:val="continuous"/>
      <w:pgSz w:w="12240" w:h="15840"/>
      <w:pgMar w:top="1440" w:right="1800" w:bottom="1440" w:left="1800" w:gutter="0"/>
      <w:pgNumType w:start="1"/>
      <w:noEndnote/>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8AA" w:rsidRDefault="009A38AA">
      <w:r>
        <w:separator/>
      </w:r>
    </w:p>
  </w:endnote>
  <w:endnote w:type="continuationSeparator" w:id="0">
    <w:p w:rsidR="009A38AA" w:rsidRDefault="009A38AA">
      <w:r>
        <w:continuationSeparator/>
      </w:r>
    </w:p>
  </w:endnote>
  <w:endnote w:id="1">
    <w:p w:rsidR="00103687" w:rsidRDefault="00103687">
      <w:pPr>
        <w:pStyle w:val="EndnoteText"/>
      </w:pPr>
      <w:r>
        <w:rPr>
          <w:rStyle w:val="EndnoteReference"/>
        </w:rPr>
        <w:endnoteRef/>
      </w:r>
      <w:r>
        <w:t xml:space="preserve"> </w:t>
      </w:r>
      <w:hyperlink r:id="rId1" w:history="1">
        <w:r w:rsidRPr="00506E70">
          <w:rPr>
            <w:rStyle w:val="Hyperlink"/>
          </w:rPr>
          <w:t>http://www.whitehouse.gov/sites/default/files/dear_colleague_sexual_violence.pdf</w:t>
        </w:r>
      </w:hyperlink>
      <w:r>
        <w:t xml:space="preserve">. </w:t>
      </w:r>
    </w:p>
  </w:endnote>
  <w:endnote w:id="2">
    <w:p w:rsidR="008D575F" w:rsidRDefault="008D575F">
      <w:pPr>
        <w:pStyle w:val="EndnoteText"/>
      </w:pPr>
      <w:r>
        <w:rPr>
          <w:rStyle w:val="EndnoteReference"/>
        </w:rPr>
        <w:endnoteRef/>
      </w:r>
      <w:r>
        <w:t xml:space="preserve"> </w:t>
      </w:r>
      <w:r w:rsidRPr="008D575F">
        <w:t>Dr. Jaudon obtained data on endowment size from the National Association of College and University Business Officers’ report on Endowment Market Value (FY 2011). On this list, Hendrix ranks 300th (out of 839 U.S. colleges and universities) in total endowment funds. I identified all of the coeducational small (under 3,000 students)  liberal arts colleges ranked between 200 and 350, obtained total enrollment figures from each college’s website, and then calculated the endowment dollars per student available at each institution. From this list, I selected the twelve institutions whose endowments per student most closely matched Hendrix’s (six above, six below). These institutions are: Skidmore College, Kenyon College, Connecticut College, Kalamazoo College, Lycoming College, Washington College, College of Wooster, St. John’s College, Franklin &amp; Marshall College, Bates College, Dickinson College, and Hanover College.</w:t>
      </w:r>
    </w:p>
  </w:endnote>
  <w:endnote w:id="3">
    <w:p w:rsidR="00B11743" w:rsidRDefault="00B11743">
      <w:pPr>
        <w:pStyle w:val="EndnoteText"/>
      </w:pPr>
      <w:r>
        <w:rPr>
          <w:rStyle w:val="EndnoteReference"/>
        </w:rPr>
        <w:endnoteRef/>
      </w:r>
      <w:r>
        <w:t xml:space="preserve"> </w:t>
      </w:r>
      <w:r w:rsidRPr="00B11743">
        <w:t>In the past year we have be</w:t>
      </w:r>
      <w:r>
        <w:t>en aware of transgender prospective students</w:t>
      </w:r>
      <w:r w:rsidRPr="00B11743">
        <w:t xml:space="preserve"> who</w:t>
      </w:r>
      <w:r>
        <w:t xml:space="preserve"> have chosen other colleges over Hendrix due to its lack of transgender institutional support, which this </w:t>
      </w:r>
      <w:r w:rsidR="00E562F2">
        <w:t>Center</w:t>
      </w:r>
      <w:r>
        <w:t xml:space="preserve"> can provide.</w:t>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Optima">
    <w:panose1 w:val="02000503060000020004"/>
    <w:charset w:val="00"/>
    <w:family w:val="auto"/>
    <w:pitch w:val="variable"/>
    <w:sig w:usb0="00000003" w:usb1="00000000" w:usb2="00000000" w:usb3="00000000" w:csb0="00000001" w:csb1="00000000"/>
  </w:font>
  <w:font w:name="Helvetica Light">
    <w:altName w:val="Malgun Gothic"/>
    <w:panose1 w:val="020B0403020202020204"/>
    <w:charset w:val="00"/>
    <w:family w:val="auto"/>
    <w:pitch w:val="variable"/>
    <w:sig w:usb0="00000003" w:usb1="4000204A"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314" w:rsidRDefault="007E3314">
    <w:pPr>
      <w:widowControl/>
      <w:jc w:val="center"/>
      <w:rPr>
        <w:rFonts w:ascii="Optima" w:hAnsi="Optima" w:cs="Optima"/>
        <w:sz w:val="26"/>
        <w:szCs w:val="26"/>
      </w:rPr>
    </w:pPr>
    <w:r>
      <w:rPr>
        <w:rFonts w:ascii="Optima" w:hAnsi="Optima" w:cs="Optima"/>
        <w:sz w:val="26"/>
        <w:szCs w:val="26"/>
      </w:rPr>
      <w:pgNum/>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8AA" w:rsidRDefault="009A38AA">
      <w:r>
        <w:separator/>
      </w:r>
    </w:p>
  </w:footnote>
  <w:footnote w:type="continuationSeparator" w:id="0">
    <w:p w:rsidR="009A38AA" w:rsidRDefault="009A38AA">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314" w:rsidRPr="00792F57" w:rsidRDefault="00774C6A" w:rsidP="006B3539">
    <w:pPr>
      <w:widowControl/>
      <w:jc w:val="right"/>
      <w:rPr>
        <w:rFonts w:asciiTheme="majorHAnsi" w:hAnsiTheme="majorHAnsi" w:cs="Optima"/>
        <w:sz w:val="20"/>
        <w:szCs w:val="20"/>
      </w:rPr>
    </w:pPr>
    <w:r>
      <w:rPr>
        <w:rFonts w:asciiTheme="majorHAnsi" w:hAnsiTheme="majorHAnsi" w:cs="Optima"/>
        <w:sz w:val="20"/>
        <w:szCs w:val="20"/>
      </w:rPr>
      <w:t xml:space="preserve">Gender &amp; Sexuality </w:t>
    </w:r>
    <w:r w:rsidR="00E562F2">
      <w:rPr>
        <w:rFonts w:asciiTheme="majorHAnsi" w:hAnsiTheme="majorHAnsi" w:cs="Optima"/>
        <w:sz w:val="20"/>
        <w:szCs w:val="20"/>
      </w:rPr>
      <w:t>Center</w:t>
    </w:r>
    <w:r w:rsidR="007E3314">
      <w:rPr>
        <w:rFonts w:asciiTheme="majorHAnsi" w:hAnsiTheme="majorHAnsi" w:cs="Optima"/>
        <w:sz w:val="20"/>
        <w:szCs w:val="20"/>
      </w:rPr>
      <w:t xml:space="preserve"> </w:t>
    </w:r>
    <w:r>
      <w:rPr>
        <w:rFonts w:asciiTheme="majorHAnsi" w:hAnsiTheme="majorHAnsi" w:cs="Optima"/>
        <w:sz w:val="20"/>
        <w:szCs w:val="20"/>
      </w:rPr>
      <w:t xml:space="preserve">Proposal, </w:t>
    </w:r>
    <w:r w:rsidR="007E3314" w:rsidRPr="00792F57">
      <w:rPr>
        <w:rFonts w:asciiTheme="majorHAnsi" w:hAnsiTheme="majorHAnsi"/>
        <w:sz w:val="20"/>
        <w:szCs w:val="20"/>
      </w:rPr>
      <w:t xml:space="preserve">Page </w:t>
    </w:r>
    <w:r w:rsidR="00443EA6" w:rsidRPr="00792F57">
      <w:rPr>
        <w:rFonts w:asciiTheme="majorHAnsi" w:hAnsiTheme="majorHAnsi"/>
        <w:szCs w:val="20"/>
      </w:rPr>
      <w:fldChar w:fldCharType="begin"/>
    </w:r>
    <w:r w:rsidR="007E3314" w:rsidRPr="00792F57">
      <w:rPr>
        <w:rFonts w:asciiTheme="majorHAnsi" w:hAnsiTheme="majorHAnsi"/>
        <w:szCs w:val="20"/>
      </w:rPr>
      <w:instrText xml:space="preserve"> PAGE </w:instrText>
    </w:r>
    <w:r w:rsidR="00443EA6" w:rsidRPr="00792F57">
      <w:rPr>
        <w:rFonts w:asciiTheme="majorHAnsi" w:hAnsiTheme="majorHAnsi"/>
        <w:szCs w:val="20"/>
      </w:rPr>
      <w:fldChar w:fldCharType="separate"/>
    </w:r>
    <w:r w:rsidR="00C24BC7">
      <w:rPr>
        <w:rFonts w:asciiTheme="majorHAnsi" w:hAnsiTheme="majorHAnsi"/>
        <w:noProof/>
        <w:szCs w:val="20"/>
      </w:rPr>
      <w:t>2</w:t>
    </w:r>
    <w:r w:rsidR="00443EA6" w:rsidRPr="00792F57">
      <w:rPr>
        <w:rFonts w:asciiTheme="majorHAnsi" w:hAnsiTheme="majorHAnsi"/>
        <w:szCs w:val="20"/>
      </w:rPr>
      <w:fldChar w:fldCharType="end"/>
    </w:r>
    <w:r w:rsidR="007E3314" w:rsidRPr="00792F57">
      <w:rPr>
        <w:rFonts w:asciiTheme="majorHAnsi" w:hAnsiTheme="majorHAnsi"/>
        <w:sz w:val="20"/>
        <w:szCs w:val="20"/>
      </w:rPr>
      <w:t xml:space="preserve"> of </w:t>
    </w:r>
    <w:r w:rsidR="00443EA6" w:rsidRPr="00792F57">
      <w:rPr>
        <w:rFonts w:asciiTheme="majorHAnsi" w:hAnsiTheme="majorHAnsi"/>
        <w:szCs w:val="20"/>
      </w:rPr>
      <w:fldChar w:fldCharType="begin"/>
    </w:r>
    <w:r w:rsidR="007E3314" w:rsidRPr="00792F57">
      <w:rPr>
        <w:rFonts w:asciiTheme="majorHAnsi" w:hAnsiTheme="majorHAnsi"/>
        <w:szCs w:val="20"/>
      </w:rPr>
      <w:instrText xml:space="preserve"> NUMPAGES </w:instrText>
    </w:r>
    <w:r w:rsidR="00443EA6" w:rsidRPr="00792F57">
      <w:rPr>
        <w:rFonts w:asciiTheme="majorHAnsi" w:hAnsiTheme="majorHAnsi"/>
        <w:szCs w:val="20"/>
      </w:rPr>
      <w:fldChar w:fldCharType="separate"/>
    </w:r>
    <w:r w:rsidR="00C24BC7">
      <w:rPr>
        <w:rFonts w:asciiTheme="majorHAnsi" w:hAnsiTheme="majorHAnsi"/>
        <w:noProof/>
        <w:szCs w:val="20"/>
      </w:rPr>
      <w:t>6</w:t>
    </w:r>
    <w:r w:rsidR="00443EA6" w:rsidRPr="00792F57">
      <w:rPr>
        <w:rFonts w:asciiTheme="majorHAnsi" w:hAnsiTheme="majorHAnsi"/>
        <w:szCs w:val="20"/>
      </w:rPr>
      <w:fldChar w:fldCharType="end"/>
    </w:r>
  </w:p>
  <w:p w:rsidR="007E3314" w:rsidRPr="001A0951" w:rsidRDefault="007E3314">
    <w:pPr>
      <w:pStyle w:val="Header"/>
      <w:rPr>
        <w:rFonts w:ascii="Helvetica Light" w:hAnsi="Helvetica Light"/>
      </w:rP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314" w:rsidRDefault="007E3314" w:rsidP="006B3539">
    <w:pPr>
      <w:widowControl/>
      <w:jc w:val="both"/>
      <w:rPr>
        <w:b/>
        <w:bCs/>
      </w:rPr>
    </w:pPr>
    <w:bookmarkStart w:id="3" w:name="LGBT_Resource_Ctr_Rationale"/>
    <w:r>
      <w:rPr>
        <w:b/>
        <w:bCs/>
      </w:rPr>
      <w:t xml:space="preserve">Proposal </w:t>
    </w:r>
    <w:r w:rsidR="00522858">
      <w:rPr>
        <w:b/>
        <w:bCs/>
      </w:rPr>
      <w:t>for a</w:t>
    </w:r>
    <w:r>
      <w:rPr>
        <w:b/>
        <w:bCs/>
      </w:rPr>
      <w:t xml:space="preserve"> </w:t>
    </w:r>
    <w:bookmarkEnd w:id="3"/>
    <w:r w:rsidR="00522858">
      <w:rPr>
        <w:b/>
        <w:bCs/>
      </w:rPr>
      <w:t xml:space="preserve">Gender &amp; Sexuality </w:t>
    </w:r>
    <w:r w:rsidR="00E562F2">
      <w:rPr>
        <w:b/>
        <w:bCs/>
      </w:rPr>
      <w:t>Center</w:t>
    </w:r>
    <w:r w:rsidR="00522858">
      <w:rPr>
        <w:b/>
        <w:bCs/>
      </w:rPr>
      <w:t xml:space="preserve"> at Hendrix College</w:t>
    </w:r>
  </w:p>
  <w:p w:rsidR="007E3314" w:rsidRDefault="007E3314">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5D302E"/>
    <w:multiLevelType w:val="hybridMultilevel"/>
    <w:tmpl w:val="2676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9D515E"/>
    <w:multiLevelType w:val="hybridMultilevel"/>
    <w:tmpl w:val="B1DA9BB4"/>
    <w:lvl w:ilvl="0" w:tplc="B15C900A">
      <w:start w:val="1"/>
      <w:numFmt w:val="bullet"/>
      <w:lvlText w:val="•"/>
      <w:lvlJc w:val="left"/>
      <w:pPr>
        <w:tabs>
          <w:tab w:val="num" w:pos="720"/>
        </w:tabs>
        <w:ind w:left="720" w:hanging="360"/>
      </w:pPr>
      <w:rPr>
        <w:rFonts w:ascii="Arial" w:hAnsi="Arial" w:hint="default"/>
      </w:rPr>
    </w:lvl>
    <w:lvl w:ilvl="1" w:tplc="537C3076" w:tentative="1">
      <w:start w:val="1"/>
      <w:numFmt w:val="bullet"/>
      <w:lvlText w:val="•"/>
      <w:lvlJc w:val="left"/>
      <w:pPr>
        <w:tabs>
          <w:tab w:val="num" w:pos="1440"/>
        </w:tabs>
        <w:ind w:left="1440" w:hanging="360"/>
      </w:pPr>
      <w:rPr>
        <w:rFonts w:ascii="Arial" w:hAnsi="Arial" w:hint="default"/>
      </w:rPr>
    </w:lvl>
    <w:lvl w:ilvl="2" w:tplc="8D06807C" w:tentative="1">
      <w:start w:val="1"/>
      <w:numFmt w:val="bullet"/>
      <w:lvlText w:val="•"/>
      <w:lvlJc w:val="left"/>
      <w:pPr>
        <w:tabs>
          <w:tab w:val="num" w:pos="2160"/>
        </w:tabs>
        <w:ind w:left="2160" w:hanging="360"/>
      </w:pPr>
      <w:rPr>
        <w:rFonts w:ascii="Arial" w:hAnsi="Arial" w:hint="default"/>
      </w:rPr>
    </w:lvl>
    <w:lvl w:ilvl="3" w:tplc="97D406BC" w:tentative="1">
      <w:start w:val="1"/>
      <w:numFmt w:val="bullet"/>
      <w:lvlText w:val="•"/>
      <w:lvlJc w:val="left"/>
      <w:pPr>
        <w:tabs>
          <w:tab w:val="num" w:pos="2880"/>
        </w:tabs>
        <w:ind w:left="2880" w:hanging="360"/>
      </w:pPr>
      <w:rPr>
        <w:rFonts w:ascii="Arial" w:hAnsi="Arial" w:hint="default"/>
      </w:rPr>
    </w:lvl>
    <w:lvl w:ilvl="4" w:tplc="DD1E5F48" w:tentative="1">
      <w:start w:val="1"/>
      <w:numFmt w:val="bullet"/>
      <w:lvlText w:val="•"/>
      <w:lvlJc w:val="left"/>
      <w:pPr>
        <w:tabs>
          <w:tab w:val="num" w:pos="3600"/>
        </w:tabs>
        <w:ind w:left="3600" w:hanging="360"/>
      </w:pPr>
      <w:rPr>
        <w:rFonts w:ascii="Arial" w:hAnsi="Arial" w:hint="default"/>
      </w:rPr>
    </w:lvl>
    <w:lvl w:ilvl="5" w:tplc="D1EABA5C" w:tentative="1">
      <w:start w:val="1"/>
      <w:numFmt w:val="bullet"/>
      <w:lvlText w:val="•"/>
      <w:lvlJc w:val="left"/>
      <w:pPr>
        <w:tabs>
          <w:tab w:val="num" w:pos="4320"/>
        </w:tabs>
        <w:ind w:left="4320" w:hanging="360"/>
      </w:pPr>
      <w:rPr>
        <w:rFonts w:ascii="Arial" w:hAnsi="Arial" w:hint="default"/>
      </w:rPr>
    </w:lvl>
    <w:lvl w:ilvl="6" w:tplc="CCBE1056" w:tentative="1">
      <w:start w:val="1"/>
      <w:numFmt w:val="bullet"/>
      <w:lvlText w:val="•"/>
      <w:lvlJc w:val="left"/>
      <w:pPr>
        <w:tabs>
          <w:tab w:val="num" w:pos="5040"/>
        </w:tabs>
        <w:ind w:left="5040" w:hanging="360"/>
      </w:pPr>
      <w:rPr>
        <w:rFonts w:ascii="Arial" w:hAnsi="Arial" w:hint="default"/>
      </w:rPr>
    </w:lvl>
    <w:lvl w:ilvl="7" w:tplc="FD648A3A" w:tentative="1">
      <w:start w:val="1"/>
      <w:numFmt w:val="bullet"/>
      <w:lvlText w:val="•"/>
      <w:lvlJc w:val="left"/>
      <w:pPr>
        <w:tabs>
          <w:tab w:val="num" w:pos="5760"/>
        </w:tabs>
        <w:ind w:left="5760" w:hanging="360"/>
      </w:pPr>
      <w:rPr>
        <w:rFonts w:ascii="Arial" w:hAnsi="Arial" w:hint="default"/>
      </w:rPr>
    </w:lvl>
    <w:lvl w:ilvl="8" w:tplc="667C2B84" w:tentative="1">
      <w:start w:val="1"/>
      <w:numFmt w:val="bullet"/>
      <w:lvlText w:val="•"/>
      <w:lvlJc w:val="left"/>
      <w:pPr>
        <w:tabs>
          <w:tab w:val="num" w:pos="6480"/>
        </w:tabs>
        <w:ind w:left="6480" w:hanging="360"/>
      </w:pPr>
      <w:rPr>
        <w:rFonts w:ascii="Arial" w:hAnsi="Arial" w:hint="default"/>
      </w:rPr>
    </w:lvl>
  </w:abstractNum>
  <w:abstractNum w:abstractNumId="4">
    <w:nsid w:val="1DE10872"/>
    <w:multiLevelType w:val="hybridMultilevel"/>
    <w:tmpl w:val="62A24A10"/>
    <w:lvl w:ilvl="0" w:tplc="CEEA5CBA">
      <w:start w:val="1"/>
      <w:numFmt w:val="bullet"/>
      <w:lvlText w:val="•"/>
      <w:lvlJc w:val="left"/>
      <w:pPr>
        <w:tabs>
          <w:tab w:val="num" w:pos="720"/>
        </w:tabs>
        <w:ind w:left="720" w:hanging="360"/>
      </w:pPr>
      <w:rPr>
        <w:rFonts w:ascii="Arial" w:hAnsi="Arial" w:hint="default"/>
      </w:rPr>
    </w:lvl>
    <w:lvl w:ilvl="1" w:tplc="DCC0372E" w:tentative="1">
      <w:start w:val="1"/>
      <w:numFmt w:val="bullet"/>
      <w:lvlText w:val="•"/>
      <w:lvlJc w:val="left"/>
      <w:pPr>
        <w:tabs>
          <w:tab w:val="num" w:pos="1440"/>
        </w:tabs>
        <w:ind w:left="1440" w:hanging="360"/>
      </w:pPr>
      <w:rPr>
        <w:rFonts w:ascii="Arial" w:hAnsi="Arial" w:hint="default"/>
      </w:rPr>
    </w:lvl>
    <w:lvl w:ilvl="2" w:tplc="665A10F4" w:tentative="1">
      <w:start w:val="1"/>
      <w:numFmt w:val="bullet"/>
      <w:lvlText w:val="•"/>
      <w:lvlJc w:val="left"/>
      <w:pPr>
        <w:tabs>
          <w:tab w:val="num" w:pos="2160"/>
        </w:tabs>
        <w:ind w:left="2160" w:hanging="360"/>
      </w:pPr>
      <w:rPr>
        <w:rFonts w:ascii="Arial" w:hAnsi="Arial" w:hint="default"/>
      </w:rPr>
    </w:lvl>
    <w:lvl w:ilvl="3" w:tplc="E54ADE8E" w:tentative="1">
      <w:start w:val="1"/>
      <w:numFmt w:val="bullet"/>
      <w:lvlText w:val="•"/>
      <w:lvlJc w:val="left"/>
      <w:pPr>
        <w:tabs>
          <w:tab w:val="num" w:pos="2880"/>
        </w:tabs>
        <w:ind w:left="2880" w:hanging="360"/>
      </w:pPr>
      <w:rPr>
        <w:rFonts w:ascii="Arial" w:hAnsi="Arial" w:hint="default"/>
      </w:rPr>
    </w:lvl>
    <w:lvl w:ilvl="4" w:tplc="9954A002" w:tentative="1">
      <w:start w:val="1"/>
      <w:numFmt w:val="bullet"/>
      <w:lvlText w:val="•"/>
      <w:lvlJc w:val="left"/>
      <w:pPr>
        <w:tabs>
          <w:tab w:val="num" w:pos="3600"/>
        </w:tabs>
        <w:ind w:left="3600" w:hanging="360"/>
      </w:pPr>
      <w:rPr>
        <w:rFonts w:ascii="Arial" w:hAnsi="Arial" w:hint="default"/>
      </w:rPr>
    </w:lvl>
    <w:lvl w:ilvl="5" w:tplc="FCBE9E34" w:tentative="1">
      <w:start w:val="1"/>
      <w:numFmt w:val="bullet"/>
      <w:lvlText w:val="•"/>
      <w:lvlJc w:val="left"/>
      <w:pPr>
        <w:tabs>
          <w:tab w:val="num" w:pos="4320"/>
        </w:tabs>
        <w:ind w:left="4320" w:hanging="360"/>
      </w:pPr>
      <w:rPr>
        <w:rFonts w:ascii="Arial" w:hAnsi="Arial" w:hint="default"/>
      </w:rPr>
    </w:lvl>
    <w:lvl w:ilvl="6" w:tplc="B5ECA2B2" w:tentative="1">
      <w:start w:val="1"/>
      <w:numFmt w:val="bullet"/>
      <w:lvlText w:val="•"/>
      <w:lvlJc w:val="left"/>
      <w:pPr>
        <w:tabs>
          <w:tab w:val="num" w:pos="5040"/>
        </w:tabs>
        <w:ind w:left="5040" w:hanging="360"/>
      </w:pPr>
      <w:rPr>
        <w:rFonts w:ascii="Arial" w:hAnsi="Arial" w:hint="default"/>
      </w:rPr>
    </w:lvl>
    <w:lvl w:ilvl="7" w:tplc="0054DBDA" w:tentative="1">
      <w:start w:val="1"/>
      <w:numFmt w:val="bullet"/>
      <w:lvlText w:val="•"/>
      <w:lvlJc w:val="left"/>
      <w:pPr>
        <w:tabs>
          <w:tab w:val="num" w:pos="5760"/>
        </w:tabs>
        <w:ind w:left="5760" w:hanging="360"/>
      </w:pPr>
      <w:rPr>
        <w:rFonts w:ascii="Arial" w:hAnsi="Arial" w:hint="default"/>
      </w:rPr>
    </w:lvl>
    <w:lvl w:ilvl="8" w:tplc="D8D2A878" w:tentative="1">
      <w:start w:val="1"/>
      <w:numFmt w:val="bullet"/>
      <w:lvlText w:val="•"/>
      <w:lvlJc w:val="left"/>
      <w:pPr>
        <w:tabs>
          <w:tab w:val="num" w:pos="6480"/>
        </w:tabs>
        <w:ind w:left="6480" w:hanging="360"/>
      </w:pPr>
      <w:rPr>
        <w:rFonts w:ascii="Arial" w:hAnsi="Arial" w:hint="default"/>
      </w:rPr>
    </w:lvl>
  </w:abstractNum>
  <w:abstractNum w:abstractNumId="5">
    <w:nsid w:val="24353E9A"/>
    <w:multiLevelType w:val="hybridMultilevel"/>
    <w:tmpl w:val="DAAE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7B587D"/>
    <w:multiLevelType w:val="hybridMultilevel"/>
    <w:tmpl w:val="0A64E6D8"/>
    <w:lvl w:ilvl="0" w:tplc="562A00BC">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7D319D"/>
    <w:multiLevelType w:val="hybridMultilevel"/>
    <w:tmpl w:val="452E6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965FA2"/>
    <w:multiLevelType w:val="hybridMultilevel"/>
    <w:tmpl w:val="2DFEC898"/>
    <w:lvl w:ilvl="0" w:tplc="562A00BC">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C67205"/>
    <w:multiLevelType w:val="hybridMultilevel"/>
    <w:tmpl w:val="09C29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9B2004"/>
    <w:multiLevelType w:val="hybridMultilevel"/>
    <w:tmpl w:val="F1DAF8D8"/>
    <w:lvl w:ilvl="0" w:tplc="562A00BC">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0A4CC1"/>
    <w:multiLevelType w:val="hybridMultilevel"/>
    <w:tmpl w:val="BC882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E35F22"/>
    <w:multiLevelType w:val="hybridMultilevel"/>
    <w:tmpl w:val="7B76D8A0"/>
    <w:lvl w:ilvl="0" w:tplc="04090001">
      <w:start w:val="1"/>
      <w:numFmt w:val="upperRoman"/>
      <w:lvlText w:val="%1."/>
      <w:lvlJc w:val="left"/>
      <w:pPr>
        <w:ind w:left="360" w:hanging="360"/>
      </w:pPr>
    </w:lvl>
    <w:lvl w:ilvl="1" w:tplc="04090015">
      <w:start w:val="1"/>
      <w:numFmt w:val="upp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cs="Arial" w:hint="default"/>
      </w:rPr>
    </w:lvl>
    <w:lvl w:ilvl="4" w:tplc="04090005">
      <w:start w:val="1"/>
      <w:numFmt w:val="bullet"/>
      <w:lvlText w:val=""/>
      <w:lvlJc w:val="left"/>
      <w:pPr>
        <w:ind w:left="3240" w:hanging="360"/>
      </w:pPr>
      <w:rPr>
        <w:rFonts w:ascii="Wingdings" w:hAnsi="Wingdings"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EA9440F"/>
    <w:multiLevelType w:val="hybridMultilevel"/>
    <w:tmpl w:val="5FF6D5B8"/>
    <w:lvl w:ilvl="0" w:tplc="562A00BC">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9E7724"/>
    <w:multiLevelType w:val="hybridMultilevel"/>
    <w:tmpl w:val="CA06C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AA27E3"/>
    <w:multiLevelType w:val="hybridMultilevel"/>
    <w:tmpl w:val="B8E4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1A7196"/>
    <w:multiLevelType w:val="hybridMultilevel"/>
    <w:tmpl w:val="BDAA9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EF3AF1"/>
    <w:multiLevelType w:val="hybridMultilevel"/>
    <w:tmpl w:val="C4B4B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ED5E72"/>
    <w:multiLevelType w:val="hybridMultilevel"/>
    <w:tmpl w:val="0C2C5DA2"/>
    <w:lvl w:ilvl="0" w:tplc="04090001">
      <w:start w:val="1"/>
      <w:numFmt w:val="upperRoman"/>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cs="Arial" w:hint="default"/>
      </w:rPr>
    </w:lvl>
    <w:lvl w:ilvl="4" w:tplc="04090005">
      <w:start w:val="1"/>
      <w:numFmt w:val="bullet"/>
      <w:lvlText w:val=""/>
      <w:lvlJc w:val="left"/>
      <w:pPr>
        <w:ind w:left="3240" w:hanging="360"/>
      </w:pPr>
      <w:rPr>
        <w:rFonts w:ascii="Wingdings" w:hAnsi="Wingdings"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A124A6E"/>
    <w:multiLevelType w:val="hybridMultilevel"/>
    <w:tmpl w:val="20467692"/>
    <w:lvl w:ilvl="0" w:tplc="491AF0AA">
      <w:start w:val="1"/>
      <w:numFmt w:val="bullet"/>
      <w:lvlText w:val=""/>
      <w:lvlJc w:val="left"/>
      <w:pPr>
        <w:ind w:left="1440" w:hanging="360"/>
      </w:pPr>
      <w:rPr>
        <w:rFonts w:ascii="Symbol" w:hAnsi="Symbol" w:hint="default"/>
        <w:color w:val="auto"/>
        <w:sz w:val="2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7"/>
  </w:num>
  <w:num w:numId="4">
    <w:abstractNumId w:val="16"/>
  </w:num>
  <w:num w:numId="5">
    <w:abstractNumId w:val="8"/>
  </w:num>
  <w:num w:numId="6">
    <w:abstractNumId w:val="13"/>
  </w:num>
  <w:num w:numId="7">
    <w:abstractNumId w:val="10"/>
  </w:num>
  <w:num w:numId="8">
    <w:abstractNumId w:val="15"/>
  </w:num>
  <w:num w:numId="9">
    <w:abstractNumId w:val="6"/>
  </w:num>
  <w:num w:numId="10">
    <w:abstractNumId w:val="19"/>
  </w:num>
  <w:num w:numId="11">
    <w:abstractNumId w:val="9"/>
  </w:num>
  <w:num w:numId="12">
    <w:abstractNumId w:val="4"/>
  </w:num>
  <w:num w:numId="13">
    <w:abstractNumId w:val="3"/>
  </w:num>
  <w:num w:numId="14">
    <w:abstractNumId w:val="11"/>
  </w:num>
  <w:num w:numId="15">
    <w:abstractNumId w:val="17"/>
  </w:num>
  <w:num w:numId="16">
    <w:abstractNumId w:val="12"/>
  </w:num>
  <w:num w:numId="17">
    <w:abstractNumId w:val="18"/>
  </w:num>
  <w:num w:numId="18">
    <w:abstractNumId w:val="5"/>
  </w:num>
  <w:num w:numId="19">
    <w:abstractNumId w:val="14"/>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239BD"/>
    <w:rsid w:val="00010E1B"/>
    <w:rsid w:val="00013A91"/>
    <w:rsid w:val="00034A18"/>
    <w:rsid w:val="00036B97"/>
    <w:rsid w:val="00076881"/>
    <w:rsid w:val="00082619"/>
    <w:rsid w:val="000A3BE0"/>
    <w:rsid w:val="000B394B"/>
    <w:rsid w:val="000C5310"/>
    <w:rsid w:val="000D5B26"/>
    <w:rsid w:val="000D6413"/>
    <w:rsid w:val="000D7C20"/>
    <w:rsid w:val="000F7090"/>
    <w:rsid w:val="00103687"/>
    <w:rsid w:val="00126019"/>
    <w:rsid w:val="001444EA"/>
    <w:rsid w:val="00144DAC"/>
    <w:rsid w:val="00161FE1"/>
    <w:rsid w:val="001639F2"/>
    <w:rsid w:val="00180134"/>
    <w:rsid w:val="001A2D8D"/>
    <w:rsid w:val="001C1758"/>
    <w:rsid w:val="001D465C"/>
    <w:rsid w:val="001E7B6C"/>
    <w:rsid w:val="00210564"/>
    <w:rsid w:val="00217A02"/>
    <w:rsid w:val="00227AAC"/>
    <w:rsid w:val="00233EAD"/>
    <w:rsid w:val="00242236"/>
    <w:rsid w:val="002679B7"/>
    <w:rsid w:val="00274274"/>
    <w:rsid w:val="00287854"/>
    <w:rsid w:val="00287DB8"/>
    <w:rsid w:val="002A410C"/>
    <w:rsid w:val="002E2728"/>
    <w:rsid w:val="00327524"/>
    <w:rsid w:val="003457C4"/>
    <w:rsid w:val="00355F98"/>
    <w:rsid w:val="003612AA"/>
    <w:rsid w:val="003621DB"/>
    <w:rsid w:val="00366667"/>
    <w:rsid w:val="00377E7C"/>
    <w:rsid w:val="00383B2E"/>
    <w:rsid w:val="003D0881"/>
    <w:rsid w:val="003E4333"/>
    <w:rsid w:val="003F0ADE"/>
    <w:rsid w:val="00400AE4"/>
    <w:rsid w:val="00412D87"/>
    <w:rsid w:val="004235EE"/>
    <w:rsid w:val="0044380F"/>
    <w:rsid w:val="00443EA6"/>
    <w:rsid w:val="004550CF"/>
    <w:rsid w:val="00465036"/>
    <w:rsid w:val="00473EC9"/>
    <w:rsid w:val="004767DE"/>
    <w:rsid w:val="004E63EC"/>
    <w:rsid w:val="00506973"/>
    <w:rsid w:val="00517CE8"/>
    <w:rsid w:val="00522858"/>
    <w:rsid w:val="005239BD"/>
    <w:rsid w:val="005318D9"/>
    <w:rsid w:val="00541B68"/>
    <w:rsid w:val="00562246"/>
    <w:rsid w:val="00572F4A"/>
    <w:rsid w:val="005734D4"/>
    <w:rsid w:val="005B01E9"/>
    <w:rsid w:val="005E4B82"/>
    <w:rsid w:val="00606B56"/>
    <w:rsid w:val="00652381"/>
    <w:rsid w:val="00665331"/>
    <w:rsid w:val="006A0FBF"/>
    <w:rsid w:val="006B3539"/>
    <w:rsid w:val="006E3E55"/>
    <w:rsid w:val="006F4060"/>
    <w:rsid w:val="006F523C"/>
    <w:rsid w:val="006F7AD3"/>
    <w:rsid w:val="007348D2"/>
    <w:rsid w:val="00774C6A"/>
    <w:rsid w:val="0077684D"/>
    <w:rsid w:val="007A01DD"/>
    <w:rsid w:val="007A02A2"/>
    <w:rsid w:val="007B643E"/>
    <w:rsid w:val="007B7C1B"/>
    <w:rsid w:val="007D08D1"/>
    <w:rsid w:val="007E3314"/>
    <w:rsid w:val="008176B5"/>
    <w:rsid w:val="00821D96"/>
    <w:rsid w:val="00830946"/>
    <w:rsid w:val="00865254"/>
    <w:rsid w:val="00875080"/>
    <w:rsid w:val="00893507"/>
    <w:rsid w:val="008969AE"/>
    <w:rsid w:val="008A55E6"/>
    <w:rsid w:val="008D158D"/>
    <w:rsid w:val="008D575F"/>
    <w:rsid w:val="009055D3"/>
    <w:rsid w:val="009301E3"/>
    <w:rsid w:val="00934BB5"/>
    <w:rsid w:val="009376C9"/>
    <w:rsid w:val="00940F42"/>
    <w:rsid w:val="00951AC1"/>
    <w:rsid w:val="009657EB"/>
    <w:rsid w:val="0099176C"/>
    <w:rsid w:val="009939A6"/>
    <w:rsid w:val="00996E4A"/>
    <w:rsid w:val="009A38AA"/>
    <w:rsid w:val="009C5189"/>
    <w:rsid w:val="009C5E38"/>
    <w:rsid w:val="009C70AA"/>
    <w:rsid w:val="009D0D30"/>
    <w:rsid w:val="009F0348"/>
    <w:rsid w:val="00A06482"/>
    <w:rsid w:val="00A273AE"/>
    <w:rsid w:val="00AA27D8"/>
    <w:rsid w:val="00AC1CEA"/>
    <w:rsid w:val="00B11743"/>
    <w:rsid w:val="00B34F0B"/>
    <w:rsid w:val="00B55684"/>
    <w:rsid w:val="00B74CD6"/>
    <w:rsid w:val="00BA6969"/>
    <w:rsid w:val="00BB0CCF"/>
    <w:rsid w:val="00BC1C29"/>
    <w:rsid w:val="00BC7EF4"/>
    <w:rsid w:val="00C12889"/>
    <w:rsid w:val="00C20143"/>
    <w:rsid w:val="00C24BC7"/>
    <w:rsid w:val="00C2701B"/>
    <w:rsid w:val="00C27653"/>
    <w:rsid w:val="00C51477"/>
    <w:rsid w:val="00C51548"/>
    <w:rsid w:val="00C628BC"/>
    <w:rsid w:val="00C73B8D"/>
    <w:rsid w:val="00C82B16"/>
    <w:rsid w:val="00CC199D"/>
    <w:rsid w:val="00D42329"/>
    <w:rsid w:val="00D70222"/>
    <w:rsid w:val="00DA21FF"/>
    <w:rsid w:val="00DC31E1"/>
    <w:rsid w:val="00DC6EEA"/>
    <w:rsid w:val="00DC71B9"/>
    <w:rsid w:val="00DD6CAA"/>
    <w:rsid w:val="00DE4E1A"/>
    <w:rsid w:val="00E20DFA"/>
    <w:rsid w:val="00E562F2"/>
    <w:rsid w:val="00E724D2"/>
    <w:rsid w:val="00E83FF0"/>
    <w:rsid w:val="00EF570C"/>
    <w:rsid w:val="00F27685"/>
    <w:rsid w:val="00F41836"/>
    <w:rsid w:val="00F520F0"/>
    <w:rsid w:val="00F60142"/>
    <w:rsid w:val="00F64FCA"/>
    <w:rsid w:val="00F910E3"/>
    <w:rsid w:val="00FB37E2"/>
    <w:rsid w:val="00FB73D1"/>
    <w:rsid w:val="00FC5CD3"/>
    <w:rsid w:val="00FD6B3E"/>
    <w:rsid w:val="00FD7AE6"/>
    <w:rsid w:val="00FF3598"/>
    <w:rsid w:val="00FF39B9"/>
  </w:rsids>
  <m:mathPr>
    <m:mathFont m:val="Optima"/>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EAD"/>
    <w:pPr>
      <w:widowControl w:val="0"/>
      <w:autoSpaceDE w:val="0"/>
      <w:autoSpaceDN w:val="0"/>
      <w:adjustRightInd w:val="0"/>
    </w:pPr>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5239BD"/>
    <w:pPr>
      <w:tabs>
        <w:tab w:val="center" w:pos="4320"/>
        <w:tab w:val="right" w:pos="8640"/>
      </w:tabs>
    </w:pPr>
  </w:style>
  <w:style w:type="character" w:customStyle="1" w:styleId="HeaderChar">
    <w:name w:val="Header Char"/>
    <w:basedOn w:val="DefaultParagraphFont"/>
    <w:link w:val="Header"/>
    <w:uiPriority w:val="99"/>
    <w:rsid w:val="005239BD"/>
    <w:rPr>
      <w:sz w:val="24"/>
      <w:szCs w:val="24"/>
    </w:rPr>
  </w:style>
  <w:style w:type="paragraph" w:styleId="Footer">
    <w:name w:val="footer"/>
    <w:basedOn w:val="Normal"/>
    <w:link w:val="FooterChar"/>
    <w:uiPriority w:val="99"/>
    <w:unhideWhenUsed/>
    <w:rsid w:val="005239BD"/>
    <w:pPr>
      <w:tabs>
        <w:tab w:val="center" w:pos="4320"/>
        <w:tab w:val="right" w:pos="8640"/>
      </w:tabs>
    </w:pPr>
  </w:style>
  <w:style w:type="character" w:customStyle="1" w:styleId="FooterChar">
    <w:name w:val="Footer Char"/>
    <w:basedOn w:val="DefaultParagraphFont"/>
    <w:link w:val="Footer"/>
    <w:uiPriority w:val="99"/>
    <w:rsid w:val="005239BD"/>
    <w:rPr>
      <w:sz w:val="24"/>
      <w:szCs w:val="24"/>
    </w:rPr>
  </w:style>
  <w:style w:type="character" w:styleId="PageNumber">
    <w:name w:val="page number"/>
    <w:basedOn w:val="DefaultParagraphFont"/>
    <w:uiPriority w:val="99"/>
    <w:semiHidden/>
    <w:unhideWhenUsed/>
    <w:rsid w:val="001A0951"/>
  </w:style>
  <w:style w:type="paragraph" w:styleId="ListParagraph">
    <w:name w:val="List Paragraph"/>
    <w:basedOn w:val="Normal"/>
    <w:uiPriority w:val="34"/>
    <w:qFormat/>
    <w:rsid w:val="00131CA0"/>
    <w:pPr>
      <w:ind w:left="720"/>
      <w:contextualSpacing/>
    </w:pPr>
  </w:style>
  <w:style w:type="character" w:styleId="Hyperlink">
    <w:name w:val="Hyperlink"/>
    <w:basedOn w:val="DefaultParagraphFont"/>
    <w:uiPriority w:val="99"/>
    <w:unhideWhenUsed/>
    <w:rsid w:val="000D5B26"/>
    <w:rPr>
      <w:color w:val="0000FF" w:themeColor="hyperlink"/>
      <w:u w:val="single"/>
    </w:rPr>
  </w:style>
  <w:style w:type="table" w:styleId="TableGrid">
    <w:name w:val="Table Grid"/>
    <w:basedOn w:val="TableNormal"/>
    <w:uiPriority w:val="59"/>
    <w:rsid w:val="00E83F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366667"/>
  </w:style>
  <w:style w:type="character" w:customStyle="1" w:styleId="FootnoteTextChar">
    <w:name w:val="Footnote Text Char"/>
    <w:basedOn w:val="DefaultParagraphFont"/>
    <w:link w:val="FootnoteText"/>
    <w:uiPriority w:val="99"/>
    <w:rsid w:val="00366667"/>
    <w:rPr>
      <w:sz w:val="24"/>
      <w:szCs w:val="24"/>
    </w:rPr>
  </w:style>
  <w:style w:type="character" w:styleId="FootnoteReference">
    <w:name w:val="footnote reference"/>
    <w:basedOn w:val="DefaultParagraphFont"/>
    <w:uiPriority w:val="99"/>
    <w:unhideWhenUsed/>
    <w:rsid w:val="00366667"/>
    <w:rPr>
      <w:vertAlign w:val="superscript"/>
    </w:rPr>
  </w:style>
  <w:style w:type="paragraph" w:styleId="BalloonText">
    <w:name w:val="Balloon Text"/>
    <w:basedOn w:val="Normal"/>
    <w:link w:val="BalloonTextChar"/>
    <w:uiPriority w:val="99"/>
    <w:semiHidden/>
    <w:unhideWhenUsed/>
    <w:rsid w:val="007E33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3314"/>
    <w:rPr>
      <w:rFonts w:ascii="Lucida Grande" w:hAnsi="Lucida Grande" w:cs="Lucida Grande"/>
      <w:sz w:val="18"/>
      <w:szCs w:val="18"/>
    </w:rPr>
  </w:style>
  <w:style w:type="paragraph" w:styleId="EndnoteText">
    <w:name w:val="endnote text"/>
    <w:basedOn w:val="Normal"/>
    <w:link w:val="EndnoteTextChar"/>
    <w:uiPriority w:val="99"/>
    <w:semiHidden/>
    <w:unhideWhenUsed/>
    <w:rsid w:val="00103687"/>
    <w:rPr>
      <w:sz w:val="20"/>
      <w:szCs w:val="20"/>
    </w:rPr>
  </w:style>
  <w:style w:type="character" w:customStyle="1" w:styleId="EndnoteTextChar">
    <w:name w:val="Endnote Text Char"/>
    <w:basedOn w:val="DefaultParagraphFont"/>
    <w:link w:val="EndnoteText"/>
    <w:uiPriority w:val="99"/>
    <w:semiHidden/>
    <w:rsid w:val="00103687"/>
  </w:style>
  <w:style w:type="character" w:styleId="EndnoteReference">
    <w:name w:val="endnote reference"/>
    <w:basedOn w:val="DefaultParagraphFont"/>
    <w:uiPriority w:val="99"/>
    <w:semiHidden/>
    <w:unhideWhenUsed/>
    <w:rsid w:val="0010368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9BD"/>
    <w:pPr>
      <w:tabs>
        <w:tab w:val="center" w:pos="4320"/>
        <w:tab w:val="right" w:pos="8640"/>
      </w:tabs>
    </w:pPr>
  </w:style>
  <w:style w:type="character" w:customStyle="1" w:styleId="HeaderChar">
    <w:name w:val="Header Char"/>
    <w:basedOn w:val="DefaultParagraphFont"/>
    <w:link w:val="Header"/>
    <w:uiPriority w:val="99"/>
    <w:rsid w:val="005239BD"/>
    <w:rPr>
      <w:sz w:val="24"/>
      <w:szCs w:val="24"/>
    </w:rPr>
  </w:style>
  <w:style w:type="paragraph" w:styleId="Footer">
    <w:name w:val="footer"/>
    <w:basedOn w:val="Normal"/>
    <w:link w:val="FooterChar"/>
    <w:uiPriority w:val="99"/>
    <w:unhideWhenUsed/>
    <w:rsid w:val="005239BD"/>
    <w:pPr>
      <w:tabs>
        <w:tab w:val="center" w:pos="4320"/>
        <w:tab w:val="right" w:pos="8640"/>
      </w:tabs>
    </w:pPr>
  </w:style>
  <w:style w:type="character" w:customStyle="1" w:styleId="FooterChar">
    <w:name w:val="Footer Char"/>
    <w:basedOn w:val="DefaultParagraphFont"/>
    <w:link w:val="Footer"/>
    <w:uiPriority w:val="99"/>
    <w:rsid w:val="005239BD"/>
    <w:rPr>
      <w:sz w:val="24"/>
      <w:szCs w:val="24"/>
    </w:rPr>
  </w:style>
  <w:style w:type="character" w:styleId="PageNumber">
    <w:name w:val="page number"/>
    <w:basedOn w:val="DefaultParagraphFont"/>
    <w:uiPriority w:val="99"/>
    <w:semiHidden/>
    <w:unhideWhenUsed/>
    <w:rsid w:val="001A0951"/>
  </w:style>
  <w:style w:type="paragraph" w:styleId="ListParagraph">
    <w:name w:val="List Paragraph"/>
    <w:basedOn w:val="Normal"/>
    <w:uiPriority w:val="34"/>
    <w:qFormat/>
    <w:rsid w:val="00131CA0"/>
    <w:pPr>
      <w:ind w:left="720"/>
      <w:contextualSpacing/>
    </w:pPr>
  </w:style>
  <w:style w:type="character" w:styleId="Hyperlink">
    <w:name w:val="Hyperlink"/>
    <w:basedOn w:val="DefaultParagraphFont"/>
    <w:uiPriority w:val="99"/>
    <w:unhideWhenUsed/>
    <w:rsid w:val="000D5B26"/>
    <w:rPr>
      <w:color w:val="0000FF" w:themeColor="hyperlink"/>
      <w:u w:val="single"/>
    </w:rPr>
  </w:style>
  <w:style w:type="table" w:styleId="TableGrid">
    <w:name w:val="Table Grid"/>
    <w:basedOn w:val="TableNormal"/>
    <w:uiPriority w:val="59"/>
    <w:rsid w:val="00E83F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366667"/>
  </w:style>
  <w:style w:type="character" w:customStyle="1" w:styleId="FootnoteTextChar">
    <w:name w:val="Footnote Text Char"/>
    <w:basedOn w:val="DefaultParagraphFont"/>
    <w:link w:val="FootnoteText"/>
    <w:uiPriority w:val="99"/>
    <w:rsid w:val="00366667"/>
    <w:rPr>
      <w:sz w:val="24"/>
      <w:szCs w:val="24"/>
    </w:rPr>
  </w:style>
  <w:style w:type="character" w:styleId="FootnoteReference">
    <w:name w:val="footnote reference"/>
    <w:basedOn w:val="DefaultParagraphFont"/>
    <w:uiPriority w:val="99"/>
    <w:unhideWhenUsed/>
    <w:rsid w:val="00366667"/>
    <w:rPr>
      <w:vertAlign w:val="superscript"/>
    </w:rPr>
  </w:style>
  <w:style w:type="paragraph" w:styleId="BalloonText">
    <w:name w:val="Balloon Text"/>
    <w:basedOn w:val="Normal"/>
    <w:link w:val="BalloonTextChar"/>
    <w:uiPriority w:val="99"/>
    <w:semiHidden/>
    <w:unhideWhenUsed/>
    <w:rsid w:val="007E33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3314"/>
    <w:rPr>
      <w:rFonts w:ascii="Lucida Grande" w:hAnsi="Lucida Grande" w:cs="Lucida Grande"/>
      <w:sz w:val="18"/>
      <w:szCs w:val="18"/>
    </w:rPr>
  </w:style>
  <w:style w:type="paragraph" w:styleId="EndnoteText">
    <w:name w:val="endnote text"/>
    <w:basedOn w:val="Normal"/>
    <w:link w:val="EndnoteTextChar"/>
    <w:uiPriority w:val="99"/>
    <w:semiHidden/>
    <w:unhideWhenUsed/>
    <w:rsid w:val="00103687"/>
    <w:rPr>
      <w:sz w:val="20"/>
      <w:szCs w:val="20"/>
    </w:rPr>
  </w:style>
  <w:style w:type="character" w:customStyle="1" w:styleId="EndnoteTextChar">
    <w:name w:val="Endnote Text Char"/>
    <w:basedOn w:val="DefaultParagraphFont"/>
    <w:link w:val="EndnoteText"/>
    <w:uiPriority w:val="99"/>
    <w:semiHidden/>
    <w:rsid w:val="00103687"/>
  </w:style>
  <w:style w:type="character" w:styleId="EndnoteReference">
    <w:name w:val="endnote reference"/>
    <w:basedOn w:val="DefaultParagraphFont"/>
    <w:uiPriority w:val="99"/>
    <w:semiHidden/>
    <w:unhideWhenUsed/>
    <w:rsid w:val="00103687"/>
    <w:rPr>
      <w:vertAlign w:val="superscript"/>
    </w:rPr>
  </w:style>
</w:styles>
</file>

<file path=word/webSettings.xml><?xml version="1.0" encoding="utf-8"?>
<w:webSettings xmlns:r="http://schemas.openxmlformats.org/officeDocument/2006/relationships" xmlns:w="http://schemas.openxmlformats.org/wordprocessingml/2006/main">
  <w:divs>
    <w:div w:id="57871248">
      <w:bodyDiv w:val="1"/>
      <w:marLeft w:val="0"/>
      <w:marRight w:val="0"/>
      <w:marTop w:val="0"/>
      <w:marBottom w:val="0"/>
      <w:divBdr>
        <w:top w:val="none" w:sz="0" w:space="0" w:color="auto"/>
        <w:left w:val="none" w:sz="0" w:space="0" w:color="auto"/>
        <w:bottom w:val="none" w:sz="0" w:space="0" w:color="auto"/>
        <w:right w:val="none" w:sz="0" w:space="0" w:color="auto"/>
      </w:divBdr>
      <w:divsChild>
        <w:div w:id="1822770294">
          <w:marLeft w:val="547"/>
          <w:marRight w:val="0"/>
          <w:marTop w:val="86"/>
          <w:marBottom w:val="0"/>
          <w:divBdr>
            <w:top w:val="none" w:sz="0" w:space="0" w:color="auto"/>
            <w:left w:val="none" w:sz="0" w:space="0" w:color="auto"/>
            <w:bottom w:val="none" w:sz="0" w:space="0" w:color="auto"/>
            <w:right w:val="none" w:sz="0" w:space="0" w:color="auto"/>
          </w:divBdr>
        </w:div>
        <w:div w:id="1975015760">
          <w:marLeft w:val="547"/>
          <w:marRight w:val="0"/>
          <w:marTop w:val="144"/>
          <w:marBottom w:val="0"/>
          <w:divBdr>
            <w:top w:val="none" w:sz="0" w:space="0" w:color="auto"/>
            <w:left w:val="none" w:sz="0" w:space="0" w:color="auto"/>
            <w:bottom w:val="none" w:sz="0" w:space="0" w:color="auto"/>
            <w:right w:val="none" w:sz="0" w:space="0" w:color="auto"/>
          </w:divBdr>
        </w:div>
      </w:divsChild>
    </w:div>
    <w:div w:id="1076703617">
      <w:bodyDiv w:val="1"/>
      <w:marLeft w:val="0"/>
      <w:marRight w:val="0"/>
      <w:marTop w:val="0"/>
      <w:marBottom w:val="0"/>
      <w:divBdr>
        <w:top w:val="none" w:sz="0" w:space="0" w:color="auto"/>
        <w:left w:val="none" w:sz="0" w:space="0" w:color="auto"/>
        <w:bottom w:val="none" w:sz="0" w:space="0" w:color="auto"/>
        <w:right w:val="none" w:sz="0" w:space="0" w:color="auto"/>
      </w:divBdr>
      <w:divsChild>
        <w:div w:id="359938991">
          <w:marLeft w:val="547"/>
          <w:marRight w:val="0"/>
          <w:marTop w:val="154"/>
          <w:marBottom w:val="0"/>
          <w:divBdr>
            <w:top w:val="none" w:sz="0" w:space="0" w:color="auto"/>
            <w:left w:val="none" w:sz="0" w:space="0" w:color="auto"/>
            <w:bottom w:val="none" w:sz="0" w:space="0" w:color="auto"/>
            <w:right w:val="none" w:sz="0" w:space="0" w:color="auto"/>
          </w:divBdr>
        </w:div>
      </w:divsChild>
    </w:div>
    <w:div w:id="11183780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www.whitehouse.gov/sites/default/files/dear_colleague_sexual_viole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3C716-E95D-2844-AA66-EE40DDC35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2293</Words>
  <Characters>13074</Characters>
  <Application>Microsoft Macintosh Word</Application>
  <DocSecurity>0</DocSecurity>
  <Lines>108</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Troub</cp:lastModifiedBy>
  <cp:revision>2</cp:revision>
  <cp:lastPrinted>2012-02-17T03:18:00Z</cp:lastPrinted>
  <dcterms:created xsi:type="dcterms:W3CDTF">2013-04-05T15:12:00Z</dcterms:created>
  <dcterms:modified xsi:type="dcterms:W3CDTF">2013-04-05T15:12:00Z</dcterms:modified>
</cp:coreProperties>
</file>